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042C5" w14:textId="3041E366" w:rsidR="00CE297D" w:rsidRPr="00CE297D" w:rsidRDefault="00CE297D" w:rsidP="00EF16DF">
      <w:pPr>
        <w:pStyle w:val="Kop1"/>
      </w:pPr>
      <w:r w:rsidRPr="00CE297D">
        <w:t>Verdienmodel – Duurzaam Advieskantoor</w:t>
      </w:r>
    </w:p>
    <w:p w14:paraId="1EDE3AB0" w14:textId="77777777" w:rsidR="00CE297D" w:rsidRPr="00CE297D" w:rsidRDefault="00CE297D" w:rsidP="00EF16DF">
      <w:pPr>
        <w:pStyle w:val="Kop2"/>
      </w:pPr>
      <w:r w:rsidRPr="00CE297D">
        <w:t>1. Inleiding</w:t>
      </w:r>
    </w:p>
    <w:p w14:paraId="4E7E317A" w14:textId="675CD0F8" w:rsidR="00CE297D" w:rsidRPr="00EF16DF" w:rsidRDefault="00CE297D" w:rsidP="00CE297D">
      <w:r w:rsidRPr="00EF16DF">
        <w:t xml:space="preserve">Ons financieel advieskantoor wordt geleid door vijf eigenaren die gezamenlijk streven naar een transparant, eerlijk en duurzaam adviesmodel. We richten ons op starters in </w:t>
      </w:r>
      <w:r w:rsidR="00EF16DF">
        <w:t xml:space="preserve">de regio </w:t>
      </w:r>
      <w:r w:rsidRPr="00EF16DF">
        <w:t>Den Haag</w:t>
      </w:r>
      <w:r w:rsidR="00EF16DF">
        <w:t xml:space="preserve"> en omstreden</w:t>
      </w:r>
      <w:r w:rsidRPr="00EF16DF">
        <w:t>, een doelgroep die steeds meer waarde hecht aan duurzaamheid en behoefte heeft aan begeleiding bij complexe financiële keuzes.</w:t>
      </w:r>
    </w:p>
    <w:p w14:paraId="6EDDC77F" w14:textId="33FAB3C7" w:rsidR="00CE297D" w:rsidRPr="00CE297D" w:rsidRDefault="00CE297D" w:rsidP="00CE297D">
      <w:r w:rsidRPr="00EF16DF">
        <w:t>Het doel van dit verdienmodel is om een realistische, onderbouwde en toekomstbestendige financiële structuur te presenteren waarin inkomsten, kosten, investeringen, risico’s en winstverdeling inzichtelijk zijn gemaakt. Door onze focus op duurzaamheid onderscheiden wij ons in de Haagse markt en spelen wij in op maatschappelijke ontwikkelingen.</w:t>
      </w:r>
    </w:p>
    <w:p w14:paraId="4D3B3751" w14:textId="77777777" w:rsidR="00CE297D" w:rsidRPr="00CE297D" w:rsidRDefault="00CE297D" w:rsidP="00EF16DF">
      <w:pPr>
        <w:pStyle w:val="Kop2"/>
      </w:pPr>
      <w:r w:rsidRPr="00CE297D">
        <w:t>2. Marktanalyse hypotheek- en beleggingsadvies</w:t>
      </w:r>
    </w:p>
    <w:p w14:paraId="73C5F2B8" w14:textId="77777777" w:rsidR="00CE297D" w:rsidRPr="00CE297D" w:rsidRDefault="00CE297D" w:rsidP="00CE297D">
      <w:r w:rsidRPr="00CE297D">
        <w:t xml:space="preserve">Voor een compleet hypotheekadvies rekenen de meeste Nederlandse advieskantoren een vaste vergoeding tussen </w:t>
      </w:r>
      <w:r w:rsidRPr="00CE297D">
        <w:rPr>
          <w:b/>
          <w:bCs/>
        </w:rPr>
        <w:t>€2.500 en €3.000</w:t>
      </w:r>
      <w:r w:rsidRPr="00CE297D">
        <w:t xml:space="preserve">, vooral in stedelijke gebieden zoals Den Haag waar de dossiers vaak complexer zijn. Dit maakt ons tarief van </w:t>
      </w:r>
      <w:r w:rsidRPr="00CE297D">
        <w:rPr>
          <w:b/>
          <w:bCs/>
        </w:rPr>
        <w:t>€2.750</w:t>
      </w:r>
      <w:r w:rsidRPr="00CE297D">
        <w:t xml:space="preserve"> marktconform.</w:t>
      </w:r>
    </w:p>
    <w:p w14:paraId="0BFD63F3" w14:textId="77777777" w:rsidR="00CE297D" w:rsidRPr="00CE297D" w:rsidRDefault="00CE297D" w:rsidP="00CE297D">
      <w:r w:rsidRPr="00CE297D">
        <w:t>Voor beleggingsadvies wordt gewerkt met:</w:t>
      </w:r>
    </w:p>
    <w:p w14:paraId="12F0125C" w14:textId="77777777" w:rsidR="00CE297D" w:rsidRPr="00CE297D" w:rsidRDefault="00CE297D" w:rsidP="00CE297D">
      <w:pPr>
        <w:numPr>
          <w:ilvl w:val="0"/>
          <w:numId w:val="1"/>
        </w:numPr>
      </w:pPr>
      <w:r w:rsidRPr="00EF16DF">
        <w:t>een eenmalig adviesbedrag tussen</w:t>
      </w:r>
      <w:r w:rsidRPr="00CE297D">
        <w:t xml:space="preserve"> </w:t>
      </w:r>
      <w:r w:rsidRPr="00EF16DF">
        <w:rPr>
          <w:b/>
          <w:bCs/>
        </w:rPr>
        <w:t>€300</w:t>
      </w:r>
      <w:r w:rsidRPr="00CE297D">
        <w:t xml:space="preserve"> en </w:t>
      </w:r>
      <w:r w:rsidRPr="00EF16DF">
        <w:rPr>
          <w:b/>
          <w:bCs/>
        </w:rPr>
        <w:t>€700</w:t>
      </w:r>
    </w:p>
    <w:p w14:paraId="1EFD05ED" w14:textId="77777777" w:rsidR="00CE297D" w:rsidRPr="00CE297D" w:rsidRDefault="00CE297D" w:rsidP="00CE297D">
      <w:pPr>
        <w:numPr>
          <w:ilvl w:val="0"/>
          <w:numId w:val="1"/>
        </w:numPr>
      </w:pPr>
      <w:r w:rsidRPr="00CE297D">
        <w:t xml:space="preserve">een </w:t>
      </w:r>
      <w:proofErr w:type="spellStart"/>
      <w:r w:rsidRPr="00EF16DF">
        <w:t>servicefee</w:t>
      </w:r>
      <w:proofErr w:type="spellEnd"/>
      <w:r w:rsidRPr="00CE297D">
        <w:t xml:space="preserve"> van ongeveer </w:t>
      </w:r>
      <w:r w:rsidRPr="00CE297D">
        <w:rPr>
          <w:b/>
          <w:bCs/>
        </w:rPr>
        <w:t>0,5% tot 0,9%</w:t>
      </w:r>
      <w:r w:rsidRPr="00CE297D">
        <w:t xml:space="preserve"> over het beheerde vermogen</w:t>
      </w:r>
    </w:p>
    <w:p w14:paraId="029D64E3" w14:textId="3F257DC2" w:rsidR="00CE297D" w:rsidRPr="00CE297D" w:rsidRDefault="00CE297D" w:rsidP="00CE297D">
      <w:r w:rsidRPr="00CE297D">
        <w:t xml:space="preserve">Ons tarief van </w:t>
      </w:r>
      <w:r w:rsidRPr="00CE297D">
        <w:rPr>
          <w:b/>
          <w:bCs/>
        </w:rPr>
        <w:t>€400</w:t>
      </w:r>
      <w:r w:rsidRPr="00CE297D">
        <w:t xml:space="preserve"> voor een duurzaam beleggingsplan en </w:t>
      </w:r>
      <w:r w:rsidRPr="00CE297D">
        <w:rPr>
          <w:b/>
          <w:bCs/>
        </w:rPr>
        <w:t xml:space="preserve">0,6% </w:t>
      </w:r>
      <w:proofErr w:type="spellStart"/>
      <w:r w:rsidRPr="00CE297D">
        <w:rPr>
          <w:b/>
          <w:bCs/>
        </w:rPr>
        <w:t>servicefee</w:t>
      </w:r>
      <w:proofErr w:type="spellEnd"/>
      <w:r w:rsidRPr="00CE297D">
        <w:t xml:space="preserve"> past binnen deze marktbandbreedte en voldoet volledig aan het provisieverbod. Wij ontvangen geen provisies van aanbieders en werken uitsluitend met transparante vergoedingen.</w:t>
      </w:r>
    </w:p>
    <w:p w14:paraId="6B33FB74" w14:textId="77777777" w:rsidR="00CE297D" w:rsidRPr="00CE297D" w:rsidRDefault="00CE297D" w:rsidP="00EF16DF">
      <w:pPr>
        <w:pStyle w:val="Kop2"/>
      </w:pPr>
      <w:r w:rsidRPr="00CE297D">
        <w:t>3. Verdienmodel – Inkomsten</w:t>
      </w:r>
    </w:p>
    <w:p w14:paraId="44428AAD" w14:textId="77777777" w:rsidR="00CE297D" w:rsidRPr="00CE297D" w:rsidRDefault="00CE297D" w:rsidP="00EF16DF">
      <w:pPr>
        <w:pStyle w:val="Kop3"/>
      </w:pPr>
      <w:r w:rsidRPr="00CE297D">
        <w:t>3.1 Doelgroep en positionering</w:t>
      </w:r>
    </w:p>
    <w:p w14:paraId="47CEF13A" w14:textId="77777777" w:rsidR="00CE297D" w:rsidRPr="00CE297D" w:rsidRDefault="00CE297D" w:rsidP="00CE297D">
      <w:r w:rsidRPr="00CE297D">
        <w:t>Wij richten ons op:</w:t>
      </w:r>
    </w:p>
    <w:p w14:paraId="69092ADD" w14:textId="77777777" w:rsidR="00CE297D" w:rsidRPr="00CE297D" w:rsidRDefault="00CE297D" w:rsidP="00CE297D">
      <w:pPr>
        <w:numPr>
          <w:ilvl w:val="0"/>
          <w:numId w:val="2"/>
        </w:numPr>
      </w:pPr>
      <w:r w:rsidRPr="00CE297D">
        <w:t>Starters (20–35 jaar)</w:t>
      </w:r>
    </w:p>
    <w:p w14:paraId="1FBE5699" w14:textId="3418F2C2" w:rsidR="00CE297D" w:rsidRPr="00CE297D" w:rsidRDefault="00CE297D" w:rsidP="00CE297D">
      <w:pPr>
        <w:numPr>
          <w:ilvl w:val="0"/>
          <w:numId w:val="2"/>
        </w:numPr>
      </w:pPr>
      <w:r w:rsidRPr="00CE297D">
        <w:t xml:space="preserve">Bewoners van </w:t>
      </w:r>
      <w:r>
        <w:t>regio Den Haag en omstreden</w:t>
      </w:r>
    </w:p>
    <w:p w14:paraId="640CFE27" w14:textId="77777777" w:rsidR="00CE297D" w:rsidRPr="00CE297D" w:rsidRDefault="00CE297D" w:rsidP="00CE297D">
      <w:pPr>
        <w:numPr>
          <w:ilvl w:val="0"/>
          <w:numId w:val="2"/>
        </w:numPr>
      </w:pPr>
      <w:r w:rsidRPr="00CE297D">
        <w:t>Personen die duurzaamheid belangrijk vinden</w:t>
      </w:r>
    </w:p>
    <w:p w14:paraId="617EFE73" w14:textId="77777777" w:rsidR="00CE297D" w:rsidRPr="00CE297D" w:rsidRDefault="00CE297D" w:rsidP="00CE297D">
      <w:pPr>
        <w:numPr>
          <w:ilvl w:val="0"/>
          <w:numId w:val="2"/>
        </w:numPr>
      </w:pPr>
      <w:r w:rsidRPr="00CE297D">
        <w:t>Klanten die begrijpelijk en eerlijk advies wensen</w:t>
      </w:r>
    </w:p>
    <w:p w14:paraId="5FF46B46" w14:textId="77777777" w:rsidR="00CE297D" w:rsidRPr="00CE297D" w:rsidRDefault="00CE297D" w:rsidP="00CE297D">
      <w:r w:rsidRPr="00CE297D">
        <w:lastRenderedPageBreak/>
        <w:t>Positionering:</w:t>
      </w:r>
      <w:r w:rsidRPr="00CE297D">
        <w:br/>
      </w:r>
      <w:r w:rsidRPr="00EF16DF">
        <w:t>Duurzaam, transparant, modern advieskantoor met focus op starters en ESG-gericht beleggen.</w:t>
      </w:r>
    </w:p>
    <w:p w14:paraId="3EC4530B" w14:textId="11D29E3F" w:rsidR="00CE297D" w:rsidRPr="00CE297D" w:rsidRDefault="00CE297D" w:rsidP="00CE297D"/>
    <w:p w14:paraId="0CB29515" w14:textId="77777777" w:rsidR="00CE297D" w:rsidRPr="00CE297D" w:rsidRDefault="00CE297D" w:rsidP="007717CD">
      <w:pPr>
        <w:pStyle w:val="Kop3"/>
      </w:pPr>
      <w:r w:rsidRPr="00CE297D">
        <w:t>3.2 Tarieven hypotheekadvies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21"/>
        <w:gridCol w:w="788"/>
      </w:tblGrid>
      <w:tr w:rsidR="00CE297D" w:rsidRPr="00CE297D" w14:paraId="24BD6DBA" w14:textId="77777777" w:rsidTr="00EF16DF">
        <w:trPr>
          <w:tblHeader/>
          <w:tblCellSpacing w:w="15" w:type="dxa"/>
        </w:trPr>
        <w:tc>
          <w:tcPr>
            <w:tcW w:w="4376" w:type="dxa"/>
            <w:vAlign w:val="center"/>
            <w:hideMark/>
          </w:tcPr>
          <w:p w14:paraId="3A0DF011" w14:textId="77777777" w:rsidR="00CE297D" w:rsidRPr="00CE297D" w:rsidRDefault="00CE297D" w:rsidP="00CE297D">
            <w:pPr>
              <w:rPr>
                <w:b/>
                <w:bCs/>
              </w:rPr>
            </w:pPr>
            <w:r w:rsidRPr="00CE297D">
              <w:rPr>
                <w:b/>
                <w:bCs/>
              </w:rPr>
              <w:t>Dienst</w:t>
            </w:r>
          </w:p>
        </w:tc>
        <w:tc>
          <w:tcPr>
            <w:tcW w:w="743" w:type="dxa"/>
            <w:vAlign w:val="center"/>
            <w:hideMark/>
          </w:tcPr>
          <w:p w14:paraId="43BF80CF" w14:textId="77777777" w:rsidR="00CE297D" w:rsidRPr="00CE297D" w:rsidRDefault="00CE297D" w:rsidP="00CE297D">
            <w:pPr>
              <w:rPr>
                <w:b/>
                <w:bCs/>
              </w:rPr>
            </w:pPr>
            <w:r w:rsidRPr="00CE297D">
              <w:rPr>
                <w:b/>
                <w:bCs/>
              </w:rPr>
              <w:t>Tarief</w:t>
            </w:r>
          </w:p>
        </w:tc>
      </w:tr>
      <w:tr w:rsidR="00CE297D" w:rsidRPr="00EF16DF" w14:paraId="53CB4E89" w14:textId="77777777" w:rsidTr="00EF16DF">
        <w:trPr>
          <w:tblCellSpacing w:w="15" w:type="dxa"/>
        </w:trPr>
        <w:tc>
          <w:tcPr>
            <w:tcW w:w="4376" w:type="dxa"/>
            <w:vAlign w:val="center"/>
            <w:hideMark/>
          </w:tcPr>
          <w:p w14:paraId="12273AF6" w14:textId="77777777" w:rsidR="00CE297D" w:rsidRPr="00CE297D" w:rsidRDefault="00CE297D" w:rsidP="00CE297D">
            <w:r w:rsidRPr="00CE297D">
              <w:t>Compleet hypotheekadvies + bemiddeling</w:t>
            </w:r>
          </w:p>
        </w:tc>
        <w:tc>
          <w:tcPr>
            <w:tcW w:w="743" w:type="dxa"/>
            <w:vAlign w:val="center"/>
            <w:hideMark/>
          </w:tcPr>
          <w:p w14:paraId="060DA04D" w14:textId="77777777" w:rsidR="00CE297D" w:rsidRPr="00EF16DF" w:rsidRDefault="00CE297D" w:rsidP="00CE297D">
            <w:r w:rsidRPr="00EF16DF">
              <w:t>€2.750</w:t>
            </w:r>
          </w:p>
        </w:tc>
      </w:tr>
      <w:tr w:rsidR="00CE297D" w:rsidRPr="00CE297D" w14:paraId="339E8E7F" w14:textId="77777777" w:rsidTr="00EF16DF">
        <w:trPr>
          <w:tblCellSpacing w:w="15" w:type="dxa"/>
        </w:trPr>
        <w:tc>
          <w:tcPr>
            <w:tcW w:w="4376" w:type="dxa"/>
            <w:vAlign w:val="center"/>
            <w:hideMark/>
          </w:tcPr>
          <w:p w14:paraId="3990D030" w14:textId="77777777" w:rsidR="00CE297D" w:rsidRPr="00CE297D" w:rsidRDefault="00CE297D" w:rsidP="00CE297D">
            <w:r w:rsidRPr="00CE297D">
              <w:t>Aankoopbegeleiding</w:t>
            </w:r>
          </w:p>
        </w:tc>
        <w:tc>
          <w:tcPr>
            <w:tcW w:w="743" w:type="dxa"/>
            <w:vAlign w:val="center"/>
            <w:hideMark/>
          </w:tcPr>
          <w:p w14:paraId="038F82EE" w14:textId="77777777" w:rsidR="00CE297D" w:rsidRPr="00CE297D" w:rsidRDefault="00CE297D" w:rsidP="00CE297D">
            <w:r w:rsidRPr="00CE297D">
              <w:t>€350</w:t>
            </w:r>
          </w:p>
        </w:tc>
      </w:tr>
      <w:tr w:rsidR="00CE297D" w:rsidRPr="00CE297D" w14:paraId="1A3A39BE" w14:textId="77777777" w:rsidTr="00EF16DF">
        <w:trPr>
          <w:tblCellSpacing w:w="15" w:type="dxa"/>
        </w:trPr>
        <w:tc>
          <w:tcPr>
            <w:tcW w:w="4376" w:type="dxa"/>
            <w:vAlign w:val="center"/>
            <w:hideMark/>
          </w:tcPr>
          <w:p w14:paraId="64CD7427" w14:textId="77777777" w:rsidR="00CE297D" w:rsidRPr="00CE297D" w:rsidRDefault="00CE297D" w:rsidP="00CE297D">
            <w:r w:rsidRPr="00CE297D">
              <w:t>Second opinion</w:t>
            </w:r>
          </w:p>
        </w:tc>
        <w:tc>
          <w:tcPr>
            <w:tcW w:w="743" w:type="dxa"/>
            <w:vAlign w:val="center"/>
            <w:hideMark/>
          </w:tcPr>
          <w:p w14:paraId="38EDEA17" w14:textId="77777777" w:rsidR="00CE297D" w:rsidRPr="00CE297D" w:rsidRDefault="00CE297D" w:rsidP="00CE297D">
            <w:r w:rsidRPr="00CE297D">
              <w:t>€250</w:t>
            </w:r>
          </w:p>
        </w:tc>
      </w:tr>
      <w:tr w:rsidR="00CE297D" w:rsidRPr="00CE297D" w14:paraId="2D3C4B39" w14:textId="77777777" w:rsidTr="00EF16DF">
        <w:trPr>
          <w:tblCellSpacing w:w="15" w:type="dxa"/>
        </w:trPr>
        <w:tc>
          <w:tcPr>
            <w:tcW w:w="4376" w:type="dxa"/>
            <w:vAlign w:val="center"/>
            <w:hideMark/>
          </w:tcPr>
          <w:p w14:paraId="46C5E924" w14:textId="77777777" w:rsidR="00CE297D" w:rsidRPr="00CE297D" w:rsidRDefault="00CE297D" w:rsidP="00CE297D">
            <w:r w:rsidRPr="00CE297D">
              <w:t>Oversluitadvies</w:t>
            </w:r>
          </w:p>
        </w:tc>
        <w:tc>
          <w:tcPr>
            <w:tcW w:w="743" w:type="dxa"/>
            <w:vAlign w:val="center"/>
            <w:hideMark/>
          </w:tcPr>
          <w:p w14:paraId="318DEFFB" w14:textId="77777777" w:rsidR="00CE297D" w:rsidRPr="00CE297D" w:rsidRDefault="00CE297D" w:rsidP="00CE297D">
            <w:r w:rsidRPr="00CE297D">
              <w:t>€1.200</w:t>
            </w:r>
          </w:p>
        </w:tc>
      </w:tr>
    </w:tbl>
    <w:p w14:paraId="7D1E97C7" w14:textId="3F0A8665" w:rsidR="00CE297D" w:rsidRPr="00CE297D" w:rsidRDefault="00CE297D" w:rsidP="00CE297D"/>
    <w:p w14:paraId="19B1B7D7" w14:textId="77777777" w:rsidR="00CE297D" w:rsidRPr="00CE297D" w:rsidRDefault="00CE297D" w:rsidP="007717CD">
      <w:pPr>
        <w:pStyle w:val="Kop3"/>
      </w:pPr>
      <w:r w:rsidRPr="00CE297D">
        <w:t>3.3 Tarieven beleggingsadvies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01"/>
        <w:gridCol w:w="2994"/>
      </w:tblGrid>
      <w:tr w:rsidR="00CE297D" w:rsidRPr="00CE297D" w14:paraId="4F477CF4" w14:textId="77777777">
        <w:trPr>
          <w:tblHeader/>
          <w:tblCellSpacing w:w="15" w:type="dxa"/>
        </w:trPr>
        <w:tc>
          <w:tcPr>
            <w:tcW w:w="0" w:type="auto"/>
            <w:vAlign w:val="center"/>
            <w:hideMark/>
          </w:tcPr>
          <w:p w14:paraId="51E66109" w14:textId="77777777" w:rsidR="00CE297D" w:rsidRPr="00CE297D" w:rsidRDefault="00CE297D" w:rsidP="00CE297D">
            <w:pPr>
              <w:rPr>
                <w:b/>
                <w:bCs/>
              </w:rPr>
            </w:pPr>
            <w:r w:rsidRPr="00CE297D">
              <w:rPr>
                <w:b/>
                <w:bCs/>
              </w:rPr>
              <w:t>Dienst</w:t>
            </w:r>
          </w:p>
        </w:tc>
        <w:tc>
          <w:tcPr>
            <w:tcW w:w="0" w:type="auto"/>
            <w:vAlign w:val="center"/>
            <w:hideMark/>
          </w:tcPr>
          <w:p w14:paraId="0E257D60" w14:textId="77777777" w:rsidR="00CE297D" w:rsidRPr="00CE297D" w:rsidRDefault="00CE297D" w:rsidP="00CE297D">
            <w:pPr>
              <w:rPr>
                <w:b/>
                <w:bCs/>
              </w:rPr>
            </w:pPr>
            <w:r w:rsidRPr="00CE297D">
              <w:rPr>
                <w:b/>
                <w:bCs/>
              </w:rPr>
              <w:t>Tarief</w:t>
            </w:r>
          </w:p>
        </w:tc>
      </w:tr>
      <w:tr w:rsidR="00CE297D" w:rsidRPr="00CE297D" w14:paraId="03B501E0" w14:textId="77777777">
        <w:trPr>
          <w:tblCellSpacing w:w="15" w:type="dxa"/>
        </w:trPr>
        <w:tc>
          <w:tcPr>
            <w:tcW w:w="0" w:type="auto"/>
            <w:vAlign w:val="center"/>
            <w:hideMark/>
          </w:tcPr>
          <w:p w14:paraId="04917582" w14:textId="77777777" w:rsidR="00CE297D" w:rsidRPr="00CE297D" w:rsidRDefault="00CE297D" w:rsidP="00CE297D">
            <w:r w:rsidRPr="00CE297D">
              <w:t>Duurzaam beleggingsplan (eenmalig)</w:t>
            </w:r>
          </w:p>
        </w:tc>
        <w:tc>
          <w:tcPr>
            <w:tcW w:w="0" w:type="auto"/>
            <w:vAlign w:val="center"/>
            <w:hideMark/>
          </w:tcPr>
          <w:p w14:paraId="5B55C009" w14:textId="77777777" w:rsidR="00CE297D" w:rsidRPr="00EF16DF" w:rsidRDefault="00CE297D" w:rsidP="00CE297D">
            <w:r w:rsidRPr="00EF16DF">
              <w:t>€400</w:t>
            </w:r>
          </w:p>
        </w:tc>
      </w:tr>
      <w:tr w:rsidR="00CE297D" w:rsidRPr="00EF16DF" w14:paraId="00719319" w14:textId="77777777">
        <w:trPr>
          <w:tblCellSpacing w:w="15" w:type="dxa"/>
        </w:trPr>
        <w:tc>
          <w:tcPr>
            <w:tcW w:w="0" w:type="auto"/>
            <w:vAlign w:val="center"/>
            <w:hideMark/>
          </w:tcPr>
          <w:p w14:paraId="5215915E" w14:textId="77777777" w:rsidR="00CE297D" w:rsidRPr="00CE297D" w:rsidRDefault="00CE297D" w:rsidP="00CE297D">
            <w:r w:rsidRPr="00CE297D">
              <w:t xml:space="preserve">Jaarlijkse </w:t>
            </w:r>
            <w:proofErr w:type="spellStart"/>
            <w:r w:rsidRPr="00CE297D">
              <w:t>servicefee</w:t>
            </w:r>
            <w:proofErr w:type="spellEnd"/>
          </w:p>
        </w:tc>
        <w:tc>
          <w:tcPr>
            <w:tcW w:w="0" w:type="auto"/>
            <w:vAlign w:val="center"/>
            <w:hideMark/>
          </w:tcPr>
          <w:p w14:paraId="20769652" w14:textId="77777777" w:rsidR="00CE297D" w:rsidRPr="00EF16DF" w:rsidRDefault="00CE297D" w:rsidP="00CE297D">
            <w:r w:rsidRPr="00EF16DF">
              <w:t>0,6% van beheerd vermogen</w:t>
            </w:r>
          </w:p>
        </w:tc>
      </w:tr>
    </w:tbl>
    <w:p w14:paraId="2024C840" w14:textId="1487F68F" w:rsidR="00CE297D" w:rsidRPr="00CE297D" w:rsidRDefault="00CE297D" w:rsidP="00CE297D"/>
    <w:p w14:paraId="3E23127F" w14:textId="190D0993" w:rsidR="00CE297D" w:rsidRPr="00CE297D" w:rsidRDefault="00CE297D" w:rsidP="007717CD">
      <w:pPr>
        <w:pStyle w:val="Kop3"/>
      </w:pPr>
      <w:r w:rsidRPr="00CE297D">
        <w:t xml:space="preserve">3.4 Verwachte klantenaantallen </w:t>
      </w:r>
    </w:p>
    <w:p w14:paraId="62896FE8" w14:textId="77777777" w:rsidR="00CE297D" w:rsidRPr="00CE297D" w:rsidRDefault="00CE297D" w:rsidP="00CE297D">
      <w:pPr>
        <w:rPr>
          <w:b/>
          <w:bCs/>
        </w:rPr>
      </w:pPr>
      <w:r w:rsidRPr="00CE297D">
        <w:rPr>
          <w:b/>
          <w:bCs/>
        </w:rPr>
        <w:t>Hypotheekklanten</w:t>
      </w:r>
    </w:p>
    <w:p w14:paraId="4D9710AA" w14:textId="77777777" w:rsidR="00CE297D" w:rsidRPr="00CE297D" w:rsidRDefault="00CE297D" w:rsidP="00CE297D">
      <w:pPr>
        <w:numPr>
          <w:ilvl w:val="0"/>
          <w:numId w:val="3"/>
        </w:numPr>
      </w:pPr>
      <w:r w:rsidRPr="00CE297D">
        <w:t xml:space="preserve">Jaar 1: </w:t>
      </w:r>
      <w:r w:rsidRPr="00CE297D">
        <w:rPr>
          <w:b/>
          <w:bCs/>
        </w:rPr>
        <w:t>85</w:t>
      </w:r>
    </w:p>
    <w:p w14:paraId="37672D7D" w14:textId="77777777" w:rsidR="00CE297D" w:rsidRPr="00CE297D" w:rsidRDefault="00CE297D" w:rsidP="00CE297D">
      <w:pPr>
        <w:numPr>
          <w:ilvl w:val="0"/>
          <w:numId w:val="3"/>
        </w:numPr>
      </w:pPr>
      <w:r w:rsidRPr="00CE297D">
        <w:t xml:space="preserve">Jaar 2: </w:t>
      </w:r>
      <w:r w:rsidRPr="00CE297D">
        <w:rPr>
          <w:b/>
          <w:bCs/>
        </w:rPr>
        <w:t>100</w:t>
      </w:r>
    </w:p>
    <w:p w14:paraId="0C48E530" w14:textId="77777777" w:rsidR="00CE297D" w:rsidRPr="00CE297D" w:rsidRDefault="00CE297D" w:rsidP="00CE297D">
      <w:pPr>
        <w:numPr>
          <w:ilvl w:val="0"/>
          <w:numId w:val="3"/>
        </w:numPr>
      </w:pPr>
      <w:r w:rsidRPr="00CE297D">
        <w:t xml:space="preserve">Jaar 3: </w:t>
      </w:r>
      <w:r w:rsidRPr="00CE297D">
        <w:rPr>
          <w:b/>
          <w:bCs/>
        </w:rPr>
        <w:t>130</w:t>
      </w:r>
    </w:p>
    <w:p w14:paraId="638D0E92" w14:textId="75608BF3" w:rsidR="00CE297D" w:rsidRPr="00CE297D" w:rsidRDefault="00CE297D" w:rsidP="00CE297D">
      <w:r w:rsidRPr="00CE297D">
        <w:br/>
      </w:r>
      <w:r w:rsidR="00A82A24">
        <w:t>Regio Den Haag is een levende stad met veel vraag naar woningen.</w:t>
      </w:r>
      <w:r w:rsidRPr="00CE297D">
        <w:t xml:space="preserve"> Door hoge transactiedichtheid, complexere financiering en groeiende verduurzamingseisen is de behoefte aan professioneel advies groot. Met vijf fulltime adviseurs is dit aantal realistisch en haalbaar.</w:t>
      </w:r>
    </w:p>
    <w:p w14:paraId="3574D05B" w14:textId="5B8B92B4" w:rsidR="00CE297D" w:rsidRDefault="00CE297D" w:rsidP="00CE297D"/>
    <w:p w14:paraId="20E7454D" w14:textId="77777777" w:rsidR="00EF16DF" w:rsidRDefault="00EF16DF" w:rsidP="00CE297D"/>
    <w:p w14:paraId="1AF63E26" w14:textId="77777777" w:rsidR="00EF16DF" w:rsidRPr="00CE297D" w:rsidRDefault="00EF16DF" w:rsidP="00CE297D"/>
    <w:p w14:paraId="5D69FA50" w14:textId="77777777" w:rsidR="00CE297D" w:rsidRPr="00CE297D" w:rsidRDefault="00CE297D" w:rsidP="00CE297D">
      <w:pPr>
        <w:rPr>
          <w:b/>
          <w:bCs/>
        </w:rPr>
      </w:pPr>
      <w:r w:rsidRPr="00CE297D">
        <w:rPr>
          <w:b/>
          <w:bCs/>
        </w:rPr>
        <w:lastRenderedPageBreak/>
        <w:t xml:space="preserve">Extra opdrachten (aankoopbegeleiding, oversluitadvies, second </w:t>
      </w:r>
      <w:proofErr w:type="spellStart"/>
      <w:r w:rsidRPr="00CE297D">
        <w:rPr>
          <w:b/>
          <w:bCs/>
        </w:rPr>
        <w:t>opinions</w:t>
      </w:r>
      <w:proofErr w:type="spellEnd"/>
      <w:r w:rsidRPr="00CE297D">
        <w:rPr>
          <w:b/>
          <w:bCs/>
        </w:rPr>
        <w:t>)</w:t>
      </w:r>
    </w:p>
    <w:p w14:paraId="45B4C54D" w14:textId="77777777" w:rsidR="00CE297D" w:rsidRPr="00CE297D" w:rsidRDefault="00CE297D" w:rsidP="00CE297D">
      <w:pPr>
        <w:numPr>
          <w:ilvl w:val="0"/>
          <w:numId w:val="4"/>
        </w:numPr>
      </w:pPr>
      <w:r w:rsidRPr="00CE297D">
        <w:t xml:space="preserve">Jaar 1: </w:t>
      </w:r>
      <w:r w:rsidRPr="00CE297D">
        <w:rPr>
          <w:b/>
          <w:bCs/>
        </w:rPr>
        <w:t>20</w:t>
      </w:r>
    </w:p>
    <w:p w14:paraId="4301E693" w14:textId="77777777" w:rsidR="00CE297D" w:rsidRPr="00CE297D" w:rsidRDefault="00CE297D" w:rsidP="00CE297D">
      <w:pPr>
        <w:numPr>
          <w:ilvl w:val="0"/>
          <w:numId w:val="4"/>
        </w:numPr>
      </w:pPr>
      <w:r w:rsidRPr="00CE297D">
        <w:t xml:space="preserve">Jaar 2: </w:t>
      </w:r>
      <w:r w:rsidRPr="00CE297D">
        <w:rPr>
          <w:b/>
          <w:bCs/>
        </w:rPr>
        <w:t>35</w:t>
      </w:r>
    </w:p>
    <w:p w14:paraId="7CF4A72F" w14:textId="77777777" w:rsidR="00EF16DF" w:rsidRDefault="00CE297D" w:rsidP="00CE297D">
      <w:pPr>
        <w:numPr>
          <w:ilvl w:val="0"/>
          <w:numId w:val="4"/>
        </w:numPr>
      </w:pPr>
      <w:r w:rsidRPr="00CE297D">
        <w:t xml:space="preserve">Jaar 3: </w:t>
      </w:r>
      <w:r w:rsidRPr="00CE297D">
        <w:rPr>
          <w:b/>
          <w:bCs/>
        </w:rPr>
        <w:t>50</w:t>
      </w:r>
    </w:p>
    <w:p w14:paraId="4308BCF6" w14:textId="50BEBB4C" w:rsidR="00CE297D" w:rsidRPr="00CE297D" w:rsidRDefault="00CE297D" w:rsidP="00EF16DF">
      <w:pPr>
        <w:ind w:left="360"/>
      </w:pPr>
      <w:r w:rsidRPr="00CE297D">
        <w:t>Veel starters zoeken extra zekerheid bij de aankoop of willen hun bestaande hypotheek duurzaam verbeteren. Dit levert structurele vraag naar aanvullende diensten.</w:t>
      </w:r>
    </w:p>
    <w:p w14:paraId="4145FD23" w14:textId="265665C9" w:rsidR="00CE297D" w:rsidRPr="00CE297D" w:rsidRDefault="00CE297D" w:rsidP="00CE297D"/>
    <w:p w14:paraId="350D0467" w14:textId="77777777" w:rsidR="00CE297D" w:rsidRPr="00CE297D" w:rsidRDefault="00CE297D" w:rsidP="00CE297D">
      <w:pPr>
        <w:rPr>
          <w:b/>
          <w:bCs/>
        </w:rPr>
      </w:pPr>
      <w:r w:rsidRPr="00CE297D">
        <w:rPr>
          <w:b/>
          <w:bCs/>
        </w:rPr>
        <w:t>Beleggingsklanten</w:t>
      </w:r>
    </w:p>
    <w:p w14:paraId="4F6EB158" w14:textId="77777777" w:rsidR="00CE297D" w:rsidRPr="00CE297D" w:rsidRDefault="00CE297D" w:rsidP="00CE297D">
      <w:pPr>
        <w:numPr>
          <w:ilvl w:val="0"/>
          <w:numId w:val="5"/>
        </w:numPr>
      </w:pPr>
      <w:r w:rsidRPr="00CE297D">
        <w:t xml:space="preserve">Jaar 1: </w:t>
      </w:r>
      <w:r w:rsidRPr="00CE297D">
        <w:rPr>
          <w:b/>
          <w:bCs/>
        </w:rPr>
        <w:t>30</w:t>
      </w:r>
    </w:p>
    <w:p w14:paraId="64965336" w14:textId="77777777" w:rsidR="00CE297D" w:rsidRPr="00CE297D" w:rsidRDefault="00CE297D" w:rsidP="00CE297D">
      <w:pPr>
        <w:numPr>
          <w:ilvl w:val="0"/>
          <w:numId w:val="5"/>
        </w:numPr>
      </w:pPr>
      <w:r w:rsidRPr="00CE297D">
        <w:t xml:space="preserve">Jaar 2: </w:t>
      </w:r>
      <w:r w:rsidRPr="00CE297D">
        <w:rPr>
          <w:b/>
          <w:bCs/>
        </w:rPr>
        <w:t>50</w:t>
      </w:r>
    </w:p>
    <w:p w14:paraId="6020ADF7" w14:textId="77777777" w:rsidR="00A82A24" w:rsidRDefault="00CE297D" w:rsidP="00CE297D">
      <w:pPr>
        <w:numPr>
          <w:ilvl w:val="0"/>
          <w:numId w:val="5"/>
        </w:numPr>
      </w:pPr>
      <w:r w:rsidRPr="00CE297D">
        <w:t xml:space="preserve">Jaar 3: </w:t>
      </w:r>
      <w:r w:rsidRPr="00CE297D">
        <w:rPr>
          <w:b/>
          <w:bCs/>
        </w:rPr>
        <w:t>85</w:t>
      </w:r>
    </w:p>
    <w:p w14:paraId="7032ADA6" w14:textId="60BECFF8" w:rsidR="00CE297D" w:rsidRPr="00CE297D" w:rsidRDefault="00CE297D" w:rsidP="007717CD">
      <w:pPr>
        <w:ind w:left="360"/>
      </w:pPr>
      <w:r w:rsidRPr="00CE297D">
        <w:t>Steeds meer starters willen duurzaam beleggen. Door onze focus op ESG en transparantie is de verwachting dat een deel van onze hypotheekklanten tevens beleggingsklant wordt.</w:t>
      </w:r>
    </w:p>
    <w:p w14:paraId="633C9BFC" w14:textId="48209DE6" w:rsidR="00CE297D" w:rsidRPr="00CE297D" w:rsidRDefault="00CE297D" w:rsidP="00CE297D"/>
    <w:p w14:paraId="2738F4EE" w14:textId="77777777" w:rsidR="00CE297D" w:rsidRPr="00CE297D" w:rsidRDefault="00CE297D" w:rsidP="007717CD">
      <w:pPr>
        <w:pStyle w:val="Kop3"/>
      </w:pPr>
      <w:r w:rsidRPr="00CE297D">
        <w:t>3.5 Instroom duurzaam belegd vermogen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7"/>
        <w:gridCol w:w="2672"/>
        <w:gridCol w:w="1961"/>
      </w:tblGrid>
      <w:tr w:rsidR="00CE297D" w:rsidRPr="00CE297D" w14:paraId="06690897" w14:textId="77777777">
        <w:trPr>
          <w:tblHeader/>
          <w:tblCellSpacing w:w="15" w:type="dxa"/>
        </w:trPr>
        <w:tc>
          <w:tcPr>
            <w:tcW w:w="0" w:type="auto"/>
            <w:vAlign w:val="center"/>
            <w:hideMark/>
          </w:tcPr>
          <w:p w14:paraId="4F1914E5" w14:textId="77777777" w:rsidR="00CE297D" w:rsidRPr="00CE297D" w:rsidRDefault="00CE297D" w:rsidP="00CE297D">
            <w:pPr>
              <w:rPr>
                <w:b/>
                <w:bCs/>
              </w:rPr>
            </w:pPr>
            <w:r w:rsidRPr="00CE297D">
              <w:rPr>
                <w:b/>
                <w:bCs/>
              </w:rPr>
              <w:t>Jaar</w:t>
            </w:r>
          </w:p>
        </w:tc>
        <w:tc>
          <w:tcPr>
            <w:tcW w:w="0" w:type="auto"/>
            <w:vAlign w:val="center"/>
            <w:hideMark/>
          </w:tcPr>
          <w:p w14:paraId="10436525" w14:textId="77777777" w:rsidR="00CE297D" w:rsidRPr="00CE297D" w:rsidRDefault="00CE297D" w:rsidP="00CE297D">
            <w:pPr>
              <w:rPr>
                <w:b/>
                <w:bCs/>
              </w:rPr>
            </w:pPr>
            <w:r w:rsidRPr="00CE297D">
              <w:rPr>
                <w:b/>
                <w:bCs/>
              </w:rPr>
              <w:t>Nieuw belegd vermogen</w:t>
            </w:r>
          </w:p>
        </w:tc>
        <w:tc>
          <w:tcPr>
            <w:tcW w:w="0" w:type="auto"/>
            <w:vAlign w:val="center"/>
            <w:hideMark/>
          </w:tcPr>
          <w:p w14:paraId="048BE8A7" w14:textId="77777777" w:rsidR="00CE297D" w:rsidRPr="00CE297D" w:rsidRDefault="00CE297D" w:rsidP="00CE297D">
            <w:pPr>
              <w:rPr>
                <w:b/>
                <w:bCs/>
              </w:rPr>
            </w:pPr>
            <w:proofErr w:type="spellStart"/>
            <w:r w:rsidRPr="00CE297D">
              <w:rPr>
                <w:b/>
                <w:bCs/>
              </w:rPr>
              <w:t>Servicefee</w:t>
            </w:r>
            <w:proofErr w:type="spellEnd"/>
            <w:r w:rsidRPr="00CE297D">
              <w:rPr>
                <w:b/>
                <w:bCs/>
              </w:rPr>
              <w:t xml:space="preserve"> (0,6%)</w:t>
            </w:r>
          </w:p>
        </w:tc>
      </w:tr>
      <w:tr w:rsidR="00CE297D" w:rsidRPr="00CE297D" w14:paraId="25144BA4" w14:textId="77777777">
        <w:trPr>
          <w:tblCellSpacing w:w="15" w:type="dxa"/>
        </w:trPr>
        <w:tc>
          <w:tcPr>
            <w:tcW w:w="0" w:type="auto"/>
            <w:vAlign w:val="center"/>
            <w:hideMark/>
          </w:tcPr>
          <w:p w14:paraId="067B4BFF" w14:textId="77777777" w:rsidR="00CE297D" w:rsidRPr="00CE297D" w:rsidRDefault="00CE297D" w:rsidP="00CE297D">
            <w:r w:rsidRPr="00CE297D">
              <w:t>Jaar 1</w:t>
            </w:r>
          </w:p>
        </w:tc>
        <w:tc>
          <w:tcPr>
            <w:tcW w:w="0" w:type="auto"/>
            <w:vAlign w:val="center"/>
            <w:hideMark/>
          </w:tcPr>
          <w:p w14:paraId="431F1F86" w14:textId="77777777" w:rsidR="00CE297D" w:rsidRPr="00CE297D" w:rsidRDefault="00CE297D" w:rsidP="00CE297D">
            <w:r w:rsidRPr="00CE297D">
              <w:t>€800.000</w:t>
            </w:r>
          </w:p>
        </w:tc>
        <w:tc>
          <w:tcPr>
            <w:tcW w:w="0" w:type="auto"/>
            <w:vAlign w:val="center"/>
            <w:hideMark/>
          </w:tcPr>
          <w:p w14:paraId="1C091FC3" w14:textId="77777777" w:rsidR="00CE297D" w:rsidRPr="00CE297D" w:rsidRDefault="00CE297D" w:rsidP="00CE297D">
            <w:r w:rsidRPr="00CE297D">
              <w:t>€4.800</w:t>
            </w:r>
          </w:p>
        </w:tc>
      </w:tr>
      <w:tr w:rsidR="00CE297D" w:rsidRPr="00CE297D" w14:paraId="78F6884E" w14:textId="77777777">
        <w:trPr>
          <w:tblCellSpacing w:w="15" w:type="dxa"/>
        </w:trPr>
        <w:tc>
          <w:tcPr>
            <w:tcW w:w="0" w:type="auto"/>
            <w:vAlign w:val="center"/>
            <w:hideMark/>
          </w:tcPr>
          <w:p w14:paraId="16A69737" w14:textId="77777777" w:rsidR="00CE297D" w:rsidRPr="00CE297D" w:rsidRDefault="00CE297D" w:rsidP="00CE297D">
            <w:r w:rsidRPr="00CE297D">
              <w:t>Jaar 2</w:t>
            </w:r>
          </w:p>
        </w:tc>
        <w:tc>
          <w:tcPr>
            <w:tcW w:w="0" w:type="auto"/>
            <w:vAlign w:val="center"/>
            <w:hideMark/>
          </w:tcPr>
          <w:p w14:paraId="1003DB25" w14:textId="77777777" w:rsidR="00CE297D" w:rsidRPr="00CE297D" w:rsidRDefault="00CE297D" w:rsidP="00CE297D">
            <w:r w:rsidRPr="00CE297D">
              <w:t>€1.500.000</w:t>
            </w:r>
          </w:p>
        </w:tc>
        <w:tc>
          <w:tcPr>
            <w:tcW w:w="0" w:type="auto"/>
            <w:vAlign w:val="center"/>
            <w:hideMark/>
          </w:tcPr>
          <w:p w14:paraId="7EFADCD3" w14:textId="77777777" w:rsidR="00CE297D" w:rsidRPr="00CE297D" w:rsidRDefault="00CE297D" w:rsidP="00CE297D">
            <w:r w:rsidRPr="00CE297D">
              <w:t>€9.000</w:t>
            </w:r>
          </w:p>
        </w:tc>
      </w:tr>
      <w:tr w:rsidR="00CE297D" w:rsidRPr="00CE297D" w14:paraId="748FE809" w14:textId="77777777">
        <w:trPr>
          <w:tblCellSpacing w:w="15" w:type="dxa"/>
        </w:trPr>
        <w:tc>
          <w:tcPr>
            <w:tcW w:w="0" w:type="auto"/>
            <w:vAlign w:val="center"/>
            <w:hideMark/>
          </w:tcPr>
          <w:p w14:paraId="24D809B4" w14:textId="77777777" w:rsidR="00CE297D" w:rsidRPr="00CE297D" w:rsidRDefault="00CE297D" w:rsidP="00CE297D">
            <w:r w:rsidRPr="00CE297D">
              <w:t>Jaar 3</w:t>
            </w:r>
          </w:p>
        </w:tc>
        <w:tc>
          <w:tcPr>
            <w:tcW w:w="0" w:type="auto"/>
            <w:vAlign w:val="center"/>
            <w:hideMark/>
          </w:tcPr>
          <w:p w14:paraId="0EF9117D" w14:textId="77777777" w:rsidR="00CE297D" w:rsidRPr="00CE297D" w:rsidRDefault="00CE297D" w:rsidP="00CE297D">
            <w:r w:rsidRPr="00CE297D">
              <w:t>€4.500.000</w:t>
            </w:r>
          </w:p>
        </w:tc>
        <w:tc>
          <w:tcPr>
            <w:tcW w:w="0" w:type="auto"/>
            <w:vAlign w:val="center"/>
            <w:hideMark/>
          </w:tcPr>
          <w:p w14:paraId="0420ACC0" w14:textId="77777777" w:rsidR="00CE297D" w:rsidRPr="00CE297D" w:rsidRDefault="00CE297D" w:rsidP="00CE297D">
            <w:r w:rsidRPr="00CE297D">
              <w:t>€27.000</w:t>
            </w:r>
          </w:p>
        </w:tc>
      </w:tr>
    </w:tbl>
    <w:p w14:paraId="4FC59A81" w14:textId="3C1D3901" w:rsidR="00CE297D" w:rsidRDefault="00CE297D" w:rsidP="00CE297D"/>
    <w:p w14:paraId="2345EF1D" w14:textId="77777777" w:rsidR="007A12E8" w:rsidRDefault="007A12E8" w:rsidP="00CE297D"/>
    <w:p w14:paraId="1CC9C31C" w14:textId="77777777" w:rsidR="007A12E8" w:rsidRDefault="007A12E8" w:rsidP="00CE297D"/>
    <w:p w14:paraId="7F5A35F4" w14:textId="77777777" w:rsidR="007A12E8" w:rsidRDefault="007A12E8" w:rsidP="00CE297D"/>
    <w:p w14:paraId="7B661E6A" w14:textId="77777777" w:rsidR="007A12E8" w:rsidRDefault="007A12E8" w:rsidP="00CE297D"/>
    <w:p w14:paraId="65D3B351" w14:textId="77777777" w:rsidR="007A12E8" w:rsidRDefault="007A12E8" w:rsidP="00CE297D"/>
    <w:p w14:paraId="754B0889" w14:textId="77777777" w:rsidR="007A12E8" w:rsidRPr="00CE297D" w:rsidRDefault="007A12E8" w:rsidP="00CE297D"/>
    <w:p w14:paraId="6AC51CCE" w14:textId="77777777" w:rsidR="00CE297D" w:rsidRPr="00CE297D" w:rsidRDefault="00CE297D" w:rsidP="007717CD">
      <w:pPr>
        <w:pStyle w:val="Kop2"/>
      </w:pPr>
      <w:r w:rsidRPr="00CE297D">
        <w:lastRenderedPageBreak/>
        <w:t>4. Creatieve extra inkomsten</w:t>
      </w:r>
    </w:p>
    <w:p w14:paraId="26EEF1CA" w14:textId="77777777" w:rsidR="00CE297D" w:rsidRPr="00CE297D" w:rsidRDefault="00CE297D" w:rsidP="00CE297D">
      <w:r w:rsidRPr="00CE297D">
        <w:t>Naast standaard hypotheek- en beleggingsadvies bieden wij aanvullende verdienmodellen:</w:t>
      </w:r>
    </w:p>
    <w:p w14:paraId="37BE9C0A" w14:textId="77777777" w:rsidR="00CE297D" w:rsidRPr="00CE297D" w:rsidRDefault="00CE297D" w:rsidP="00CE297D">
      <w:pPr>
        <w:rPr>
          <w:b/>
          <w:bCs/>
        </w:rPr>
      </w:pPr>
      <w:r w:rsidRPr="00CE297D">
        <w:rPr>
          <w:b/>
          <w:bCs/>
        </w:rPr>
        <w:t>1. Second opinion hypotheek</w:t>
      </w:r>
    </w:p>
    <w:p w14:paraId="2674F451" w14:textId="77777777" w:rsidR="00CE297D" w:rsidRPr="00CE297D" w:rsidRDefault="00CE297D" w:rsidP="00CE297D">
      <w:r w:rsidRPr="00CE297D">
        <w:t>Extra inkomsten door snelle, onafhankelijke beoordeling van bestaande adviezen.</w:t>
      </w:r>
    </w:p>
    <w:p w14:paraId="6FCD823E" w14:textId="77777777" w:rsidR="00CE297D" w:rsidRPr="00CE297D" w:rsidRDefault="00CE297D" w:rsidP="00CE297D">
      <w:pPr>
        <w:rPr>
          <w:b/>
          <w:bCs/>
        </w:rPr>
      </w:pPr>
      <w:r w:rsidRPr="00CE297D">
        <w:rPr>
          <w:b/>
          <w:bCs/>
        </w:rPr>
        <w:t>2. Duurzaamheidscheck bij hypotheekadvies</w:t>
      </w:r>
    </w:p>
    <w:p w14:paraId="3A0A74EB" w14:textId="77777777" w:rsidR="00CE297D" w:rsidRPr="00CE297D" w:rsidRDefault="00CE297D" w:rsidP="00CE297D">
      <w:r w:rsidRPr="00CE297D">
        <w:t>Klanten krijgen inzicht in de financiële impact van verduurzaming, zoals isolatie of zonnepanelen, inclusief subsidiemogelijkheden.</w:t>
      </w:r>
    </w:p>
    <w:p w14:paraId="3E342088" w14:textId="77777777" w:rsidR="00CE297D" w:rsidRPr="00CE297D" w:rsidRDefault="00CE297D" w:rsidP="00CE297D">
      <w:pPr>
        <w:rPr>
          <w:b/>
          <w:bCs/>
        </w:rPr>
      </w:pPr>
      <w:r w:rsidRPr="00CE297D">
        <w:rPr>
          <w:b/>
          <w:bCs/>
        </w:rPr>
        <w:t>3. Los duurzaam beleggingsadvies</w:t>
      </w:r>
    </w:p>
    <w:p w14:paraId="70D0CDFB" w14:textId="77777777" w:rsidR="00CE297D" w:rsidRPr="00CE297D" w:rsidRDefault="00CE297D" w:rsidP="00CE297D">
      <w:r w:rsidRPr="00CE297D">
        <w:t>Niet-hypotheekklanten kunnen apart een duurzaam beleggingsplan afnemen.</w:t>
      </w:r>
    </w:p>
    <w:p w14:paraId="157B0874" w14:textId="77777777" w:rsidR="00CE297D" w:rsidRPr="00CE297D" w:rsidRDefault="00CE297D" w:rsidP="00CE297D">
      <w:r w:rsidRPr="00CE297D">
        <w:t>Deze diensten bieden meerwaarde en versterken onze duurzame positionering, maar zijn voorzichtig opgenomen in de financiële prognoses.</w:t>
      </w:r>
    </w:p>
    <w:p w14:paraId="2BFFFDC5" w14:textId="49A438A0" w:rsidR="00CE297D" w:rsidRPr="00CE297D" w:rsidRDefault="00CE297D" w:rsidP="00CE297D"/>
    <w:p w14:paraId="16B727D1" w14:textId="77777777" w:rsidR="00CE297D" w:rsidRPr="00CE297D" w:rsidRDefault="00CE297D" w:rsidP="007717CD">
      <w:pPr>
        <w:pStyle w:val="Kop2"/>
      </w:pPr>
      <w:r w:rsidRPr="00CE297D">
        <w:t>5. Omzetprognose (prijs × hoeveelheid)</w:t>
      </w:r>
    </w:p>
    <w:p w14:paraId="0B7F27B7" w14:textId="77777777" w:rsidR="00CE297D" w:rsidRPr="00CE297D" w:rsidRDefault="00CE297D" w:rsidP="007717CD">
      <w:pPr>
        <w:pStyle w:val="Kop3"/>
      </w:pPr>
      <w:r w:rsidRPr="00CE297D">
        <w:t>5.1 Hypotheekadvies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5"/>
        <w:gridCol w:w="908"/>
        <w:gridCol w:w="770"/>
        <w:gridCol w:w="1041"/>
      </w:tblGrid>
      <w:tr w:rsidR="00CE297D" w:rsidRPr="00CE297D" w14:paraId="28531737" w14:textId="77777777">
        <w:trPr>
          <w:tblHeader/>
          <w:tblCellSpacing w:w="15" w:type="dxa"/>
        </w:trPr>
        <w:tc>
          <w:tcPr>
            <w:tcW w:w="0" w:type="auto"/>
            <w:vAlign w:val="center"/>
            <w:hideMark/>
          </w:tcPr>
          <w:p w14:paraId="28234018" w14:textId="77777777" w:rsidR="00CE297D" w:rsidRPr="00CE297D" w:rsidRDefault="00CE297D" w:rsidP="00CE297D">
            <w:pPr>
              <w:rPr>
                <w:b/>
                <w:bCs/>
              </w:rPr>
            </w:pPr>
            <w:r w:rsidRPr="00CE297D">
              <w:rPr>
                <w:b/>
                <w:bCs/>
              </w:rPr>
              <w:t>Jaar</w:t>
            </w:r>
          </w:p>
        </w:tc>
        <w:tc>
          <w:tcPr>
            <w:tcW w:w="0" w:type="auto"/>
            <w:vAlign w:val="center"/>
            <w:hideMark/>
          </w:tcPr>
          <w:p w14:paraId="6B5E9D6D" w14:textId="77777777" w:rsidR="00CE297D" w:rsidRPr="00CE297D" w:rsidRDefault="00CE297D" w:rsidP="00CE297D">
            <w:pPr>
              <w:rPr>
                <w:b/>
                <w:bCs/>
              </w:rPr>
            </w:pPr>
            <w:r w:rsidRPr="00CE297D">
              <w:rPr>
                <w:b/>
                <w:bCs/>
              </w:rPr>
              <w:t>Klanten</w:t>
            </w:r>
          </w:p>
        </w:tc>
        <w:tc>
          <w:tcPr>
            <w:tcW w:w="0" w:type="auto"/>
            <w:vAlign w:val="center"/>
            <w:hideMark/>
          </w:tcPr>
          <w:p w14:paraId="27CA4E18" w14:textId="77777777" w:rsidR="00CE297D" w:rsidRPr="00CE297D" w:rsidRDefault="00CE297D" w:rsidP="00CE297D">
            <w:pPr>
              <w:rPr>
                <w:b/>
                <w:bCs/>
              </w:rPr>
            </w:pPr>
            <w:r w:rsidRPr="00CE297D">
              <w:rPr>
                <w:b/>
                <w:bCs/>
              </w:rPr>
              <w:t>Tarief</w:t>
            </w:r>
          </w:p>
        </w:tc>
        <w:tc>
          <w:tcPr>
            <w:tcW w:w="0" w:type="auto"/>
            <w:vAlign w:val="center"/>
            <w:hideMark/>
          </w:tcPr>
          <w:p w14:paraId="1722ACFD" w14:textId="77777777" w:rsidR="00CE297D" w:rsidRPr="00CE297D" w:rsidRDefault="00CE297D" w:rsidP="00CE297D">
            <w:pPr>
              <w:rPr>
                <w:b/>
                <w:bCs/>
              </w:rPr>
            </w:pPr>
            <w:r w:rsidRPr="00CE297D">
              <w:rPr>
                <w:b/>
                <w:bCs/>
              </w:rPr>
              <w:t>Omzet</w:t>
            </w:r>
          </w:p>
        </w:tc>
      </w:tr>
      <w:tr w:rsidR="00CE297D" w:rsidRPr="00CE297D" w14:paraId="69A3955E" w14:textId="77777777">
        <w:trPr>
          <w:tblCellSpacing w:w="15" w:type="dxa"/>
        </w:trPr>
        <w:tc>
          <w:tcPr>
            <w:tcW w:w="0" w:type="auto"/>
            <w:vAlign w:val="center"/>
            <w:hideMark/>
          </w:tcPr>
          <w:p w14:paraId="16AE6064" w14:textId="77777777" w:rsidR="00CE297D" w:rsidRPr="00CE297D" w:rsidRDefault="00CE297D" w:rsidP="00CE297D">
            <w:r w:rsidRPr="00CE297D">
              <w:t>1</w:t>
            </w:r>
          </w:p>
        </w:tc>
        <w:tc>
          <w:tcPr>
            <w:tcW w:w="0" w:type="auto"/>
            <w:vAlign w:val="center"/>
            <w:hideMark/>
          </w:tcPr>
          <w:p w14:paraId="3AB493C7" w14:textId="77777777" w:rsidR="00CE297D" w:rsidRPr="00CE297D" w:rsidRDefault="00CE297D" w:rsidP="00CE297D">
            <w:r w:rsidRPr="00CE297D">
              <w:t>85</w:t>
            </w:r>
          </w:p>
        </w:tc>
        <w:tc>
          <w:tcPr>
            <w:tcW w:w="0" w:type="auto"/>
            <w:vAlign w:val="center"/>
            <w:hideMark/>
          </w:tcPr>
          <w:p w14:paraId="3C95FCA7" w14:textId="77777777" w:rsidR="00CE297D" w:rsidRPr="00CE297D" w:rsidRDefault="00CE297D" w:rsidP="00CE297D">
            <w:r w:rsidRPr="00CE297D">
              <w:t>€2.750</w:t>
            </w:r>
          </w:p>
        </w:tc>
        <w:tc>
          <w:tcPr>
            <w:tcW w:w="0" w:type="auto"/>
            <w:vAlign w:val="center"/>
            <w:hideMark/>
          </w:tcPr>
          <w:p w14:paraId="610A77D2" w14:textId="77777777" w:rsidR="00CE297D" w:rsidRPr="00CE297D" w:rsidRDefault="00CE297D" w:rsidP="00CE297D">
            <w:r w:rsidRPr="00CE297D">
              <w:t>€233.750</w:t>
            </w:r>
          </w:p>
        </w:tc>
      </w:tr>
      <w:tr w:rsidR="00CE297D" w:rsidRPr="00CE297D" w14:paraId="2EC89857" w14:textId="77777777">
        <w:trPr>
          <w:tblCellSpacing w:w="15" w:type="dxa"/>
        </w:trPr>
        <w:tc>
          <w:tcPr>
            <w:tcW w:w="0" w:type="auto"/>
            <w:vAlign w:val="center"/>
            <w:hideMark/>
          </w:tcPr>
          <w:p w14:paraId="43A62E6F" w14:textId="77777777" w:rsidR="00CE297D" w:rsidRPr="00CE297D" w:rsidRDefault="00CE297D" w:rsidP="00CE297D">
            <w:r w:rsidRPr="00CE297D">
              <w:t>2</w:t>
            </w:r>
          </w:p>
        </w:tc>
        <w:tc>
          <w:tcPr>
            <w:tcW w:w="0" w:type="auto"/>
            <w:vAlign w:val="center"/>
            <w:hideMark/>
          </w:tcPr>
          <w:p w14:paraId="595038C1" w14:textId="77777777" w:rsidR="00CE297D" w:rsidRPr="00CE297D" w:rsidRDefault="00CE297D" w:rsidP="00CE297D">
            <w:r w:rsidRPr="00CE297D">
              <w:t>100</w:t>
            </w:r>
          </w:p>
        </w:tc>
        <w:tc>
          <w:tcPr>
            <w:tcW w:w="0" w:type="auto"/>
            <w:vAlign w:val="center"/>
            <w:hideMark/>
          </w:tcPr>
          <w:p w14:paraId="759E3B8C" w14:textId="77777777" w:rsidR="00CE297D" w:rsidRPr="00CE297D" w:rsidRDefault="00CE297D" w:rsidP="00CE297D">
            <w:r w:rsidRPr="00CE297D">
              <w:t>€2.750</w:t>
            </w:r>
          </w:p>
        </w:tc>
        <w:tc>
          <w:tcPr>
            <w:tcW w:w="0" w:type="auto"/>
            <w:vAlign w:val="center"/>
            <w:hideMark/>
          </w:tcPr>
          <w:p w14:paraId="525F583A" w14:textId="77777777" w:rsidR="00CE297D" w:rsidRPr="00CE297D" w:rsidRDefault="00CE297D" w:rsidP="00CE297D">
            <w:r w:rsidRPr="00CE297D">
              <w:t>€275.000</w:t>
            </w:r>
          </w:p>
        </w:tc>
      </w:tr>
      <w:tr w:rsidR="00CE297D" w:rsidRPr="00CE297D" w14:paraId="72BD01F3" w14:textId="77777777">
        <w:trPr>
          <w:tblCellSpacing w:w="15" w:type="dxa"/>
        </w:trPr>
        <w:tc>
          <w:tcPr>
            <w:tcW w:w="0" w:type="auto"/>
            <w:vAlign w:val="center"/>
            <w:hideMark/>
          </w:tcPr>
          <w:p w14:paraId="60891154" w14:textId="77777777" w:rsidR="00CE297D" w:rsidRPr="00CE297D" w:rsidRDefault="00CE297D" w:rsidP="00CE297D">
            <w:r w:rsidRPr="00CE297D">
              <w:t>3</w:t>
            </w:r>
          </w:p>
        </w:tc>
        <w:tc>
          <w:tcPr>
            <w:tcW w:w="0" w:type="auto"/>
            <w:vAlign w:val="center"/>
            <w:hideMark/>
          </w:tcPr>
          <w:p w14:paraId="056AA78C" w14:textId="77777777" w:rsidR="00CE297D" w:rsidRPr="00CE297D" w:rsidRDefault="00CE297D" w:rsidP="00CE297D">
            <w:r w:rsidRPr="00CE297D">
              <w:t>130</w:t>
            </w:r>
          </w:p>
        </w:tc>
        <w:tc>
          <w:tcPr>
            <w:tcW w:w="0" w:type="auto"/>
            <w:vAlign w:val="center"/>
            <w:hideMark/>
          </w:tcPr>
          <w:p w14:paraId="67AA6C24" w14:textId="77777777" w:rsidR="00CE297D" w:rsidRPr="00CE297D" w:rsidRDefault="00CE297D" w:rsidP="00CE297D">
            <w:r w:rsidRPr="00CE297D">
              <w:t>€2.750</w:t>
            </w:r>
          </w:p>
        </w:tc>
        <w:tc>
          <w:tcPr>
            <w:tcW w:w="0" w:type="auto"/>
            <w:vAlign w:val="center"/>
            <w:hideMark/>
          </w:tcPr>
          <w:p w14:paraId="10038975" w14:textId="77777777" w:rsidR="00CE297D" w:rsidRPr="00CE297D" w:rsidRDefault="00CE297D" w:rsidP="00CE297D">
            <w:r w:rsidRPr="00CE297D">
              <w:t>€357.500</w:t>
            </w:r>
          </w:p>
        </w:tc>
      </w:tr>
    </w:tbl>
    <w:p w14:paraId="5800CD2C" w14:textId="798DA29C" w:rsidR="00CE297D" w:rsidRPr="00CE297D" w:rsidRDefault="00CE297D" w:rsidP="00CE297D"/>
    <w:p w14:paraId="31CC019A" w14:textId="77777777" w:rsidR="00CE297D" w:rsidRPr="00CE297D" w:rsidRDefault="00CE297D" w:rsidP="007717CD">
      <w:pPr>
        <w:pStyle w:val="Kop3"/>
      </w:pPr>
      <w:r w:rsidRPr="00CE297D">
        <w:t>5.2 Extra diensten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5"/>
        <w:gridCol w:w="769"/>
        <w:gridCol w:w="1393"/>
        <w:gridCol w:w="913"/>
      </w:tblGrid>
      <w:tr w:rsidR="00CE297D" w:rsidRPr="00CE297D" w14:paraId="4DB72BCB" w14:textId="77777777">
        <w:trPr>
          <w:tblHeader/>
          <w:tblCellSpacing w:w="15" w:type="dxa"/>
        </w:trPr>
        <w:tc>
          <w:tcPr>
            <w:tcW w:w="0" w:type="auto"/>
            <w:vAlign w:val="center"/>
            <w:hideMark/>
          </w:tcPr>
          <w:p w14:paraId="7A664B02" w14:textId="77777777" w:rsidR="00CE297D" w:rsidRPr="00CE297D" w:rsidRDefault="00CE297D" w:rsidP="00CE297D">
            <w:pPr>
              <w:rPr>
                <w:b/>
                <w:bCs/>
              </w:rPr>
            </w:pPr>
            <w:r w:rsidRPr="00CE297D">
              <w:rPr>
                <w:b/>
                <w:bCs/>
              </w:rPr>
              <w:t>Jaar</w:t>
            </w:r>
          </w:p>
        </w:tc>
        <w:tc>
          <w:tcPr>
            <w:tcW w:w="0" w:type="auto"/>
            <w:vAlign w:val="center"/>
            <w:hideMark/>
          </w:tcPr>
          <w:p w14:paraId="4158724E" w14:textId="77777777" w:rsidR="00CE297D" w:rsidRPr="00CE297D" w:rsidRDefault="00CE297D" w:rsidP="00CE297D">
            <w:pPr>
              <w:rPr>
                <w:b/>
                <w:bCs/>
              </w:rPr>
            </w:pPr>
            <w:r w:rsidRPr="00CE297D">
              <w:rPr>
                <w:b/>
                <w:bCs/>
              </w:rPr>
              <w:t>Aantal</w:t>
            </w:r>
          </w:p>
        </w:tc>
        <w:tc>
          <w:tcPr>
            <w:tcW w:w="0" w:type="auto"/>
            <w:vAlign w:val="center"/>
            <w:hideMark/>
          </w:tcPr>
          <w:p w14:paraId="7925E76F" w14:textId="77777777" w:rsidR="00CE297D" w:rsidRPr="00CE297D" w:rsidRDefault="00CE297D" w:rsidP="00CE297D">
            <w:pPr>
              <w:rPr>
                <w:b/>
                <w:bCs/>
              </w:rPr>
            </w:pPr>
            <w:r w:rsidRPr="00CE297D">
              <w:rPr>
                <w:b/>
                <w:bCs/>
              </w:rPr>
              <w:t>Tarief (gem.)</w:t>
            </w:r>
          </w:p>
        </w:tc>
        <w:tc>
          <w:tcPr>
            <w:tcW w:w="0" w:type="auto"/>
            <w:vAlign w:val="center"/>
            <w:hideMark/>
          </w:tcPr>
          <w:p w14:paraId="3E2C8A01" w14:textId="77777777" w:rsidR="00CE297D" w:rsidRPr="00CE297D" w:rsidRDefault="00CE297D" w:rsidP="00CE297D">
            <w:pPr>
              <w:rPr>
                <w:b/>
                <w:bCs/>
              </w:rPr>
            </w:pPr>
            <w:r w:rsidRPr="00CE297D">
              <w:rPr>
                <w:b/>
                <w:bCs/>
              </w:rPr>
              <w:t>Omzet</w:t>
            </w:r>
          </w:p>
        </w:tc>
      </w:tr>
      <w:tr w:rsidR="00CE297D" w:rsidRPr="00CE297D" w14:paraId="737E432B" w14:textId="77777777">
        <w:trPr>
          <w:tblCellSpacing w:w="15" w:type="dxa"/>
        </w:trPr>
        <w:tc>
          <w:tcPr>
            <w:tcW w:w="0" w:type="auto"/>
            <w:vAlign w:val="center"/>
            <w:hideMark/>
          </w:tcPr>
          <w:p w14:paraId="0717E603" w14:textId="77777777" w:rsidR="00CE297D" w:rsidRPr="00CE297D" w:rsidRDefault="00CE297D" w:rsidP="00CE297D">
            <w:r w:rsidRPr="00CE297D">
              <w:t>1</w:t>
            </w:r>
          </w:p>
        </w:tc>
        <w:tc>
          <w:tcPr>
            <w:tcW w:w="0" w:type="auto"/>
            <w:vAlign w:val="center"/>
            <w:hideMark/>
          </w:tcPr>
          <w:p w14:paraId="3ADFBDB5" w14:textId="77777777" w:rsidR="00CE297D" w:rsidRPr="00CE297D" w:rsidRDefault="00CE297D" w:rsidP="00CE297D">
            <w:r w:rsidRPr="00CE297D">
              <w:t>20</w:t>
            </w:r>
          </w:p>
        </w:tc>
        <w:tc>
          <w:tcPr>
            <w:tcW w:w="0" w:type="auto"/>
            <w:vAlign w:val="center"/>
            <w:hideMark/>
          </w:tcPr>
          <w:p w14:paraId="347DA092" w14:textId="77777777" w:rsidR="00CE297D" w:rsidRPr="00CE297D" w:rsidRDefault="00CE297D" w:rsidP="00CE297D">
            <w:r w:rsidRPr="00CE297D">
              <w:t>€300</w:t>
            </w:r>
          </w:p>
        </w:tc>
        <w:tc>
          <w:tcPr>
            <w:tcW w:w="0" w:type="auto"/>
            <w:vAlign w:val="center"/>
            <w:hideMark/>
          </w:tcPr>
          <w:p w14:paraId="5285D662" w14:textId="77777777" w:rsidR="00CE297D" w:rsidRPr="00CE297D" w:rsidRDefault="00CE297D" w:rsidP="00CE297D">
            <w:r w:rsidRPr="00CE297D">
              <w:t>€6.000</w:t>
            </w:r>
          </w:p>
        </w:tc>
      </w:tr>
      <w:tr w:rsidR="00CE297D" w:rsidRPr="00CE297D" w14:paraId="2A107F28" w14:textId="77777777">
        <w:trPr>
          <w:tblCellSpacing w:w="15" w:type="dxa"/>
        </w:trPr>
        <w:tc>
          <w:tcPr>
            <w:tcW w:w="0" w:type="auto"/>
            <w:vAlign w:val="center"/>
            <w:hideMark/>
          </w:tcPr>
          <w:p w14:paraId="4DE3B318" w14:textId="77777777" w:rsidR="00CE297D" w:rsidRPr="00CE297D" w:rsidRDefault="00CE297D" w:rsidP="00CE297D">
            <w:r w:rsidRPr="00CE297D">
              <w:t>2</w:t>
            </w:r>
          </w:p>
        </w:tc>
        <w:tc>
          <w:tcPr>
            <w:tcW w:w="0" w:type="auto"/>
            <w:vAlign w:val="center"/>
            <w:hideMark/>
          </w:tcPr>
          <w:p w14:paraId="335A7DE8" w14:textId="77777777" w:rsidR="00CE297D" w:rsidRPr="00CE297D" w:rsidRDefault="00CE297D" w:rsidP="00CE297D">
            <w:r w:rsidRPr="00CE297D">
              <w:t>35</w:t>
            </w:r>
          </w:p>
        </w:tc>
        <w:tc>
          <w:tcPr>
            <w:tcW w:w="0" w:type="auto"/>
            <w:vAlign w:val="center"/>
            <w:hideMark/>
          </w:tcPr>
          <w:p w14:paraId="319CED1F" w14:textId="77777777" w:rsidR="00CE297D" w:rsidRPr="00CE297D" w:rsidRDefault="00CE297D" w:rsidP="00CE297D">
            <w:r w:rsidRPr="00CE297D">
              <w:t>€300</w:t>
            </w:r>
          </w:p>
        </w:tc>
        <w:tc>
          <w:tcPr>
            <w:tcW w:w="0" w:type="auto"/>
            <w:vAlign w:val="center"/>
            <w:hideMark/>
          </w:tcPr>
          <w:p w14:paraId="6C418ECF" w14:textId="77777777" w:rsidR="00CE297D" w:rsidRPr="00CE297D" w:rsidRDefault="00CE297D" w:rsidP="00CE297D">
            <w:r w:rsidRPr="00CE297D">
              <w:t>€10.500</w:t>
            </w:r>
          </w:p>
        </w:tc>
      </w:tr>
      <w:tr w:rsidR="00CE297D" w:rsidRPr="00CE297D" w14:paraId="36869E5F" w14:textId="77777777">
        <w:trPr>
          <w:tblCellSpacing w:w="15" w:type="dxa"/>
        </w:trPr>
        <w:tc>
          <w:tcPr>
            <w:tcW w:w="0" w:type="auto"/>
            <w:vAlign w:val="center"/>
            <w:hideMark/>
          </w:tcPr>
          <w:p w14:paraId="55EAE0FF" w14:textId="77777777" w:rsidR="00CE297D" w:rsidRPr="00CE297D" w:rsidRDefault="00CE297D" w:rsidP="00CE297D">
            <w:r w:rsidRPr="00CE297D">
              <w:t>3</w:t>
            </w:r>
          </w:p>
        </w:tc>
        <w:tc>
          <w:tcPr>
            <w:tcW w:w="0" w:type="auto"/>
            <w:vAlign w:val="center"/>
            <w:hideMark/>
          </w:tcPr>
          <w:p w14:paraId="2EC66AB5" w14:textId="77777777" w:rsidR="00CE297D" w:rsidRPr="00CE297D" w:rsidRDefault="00CE297D" w:rsidP="00CE297D">
            <w:r w:rsidRPr="00CE297D">
              <w:t>50</w:t>
            </w:r>
          </w:p>
        </w:tc>
        <w:tc>
          <w:tcPr>
            <w:tcW w:w="0" w:type="auto"/>
            <w:vAlign w:val="center"/>
            <w:hideMark/>
          </w:tcPr>
          <w:p w14:paraId="0CF873F4" w14:textId="77777777" w:rsidR="00CE297D" w:rsidRPr="00CE297D" w:rsidRDefault="00CE297D" w:rsidP="00CE297D">
            <w:r w:rsidRPr="00CE297D">
              <w:t>€300</w:t>
            </w:r>
          </w:p>
        </w:tc>
        <w:tc>
          <w:tcPr>
            <w:tcW w:w="0" w:type="auto"/>
            <w:vAlign w:val="center"/>
            <w:hideMark/>
          </w:tcPr>
          <w:p w14:paraId="32851515" w14:textId="77777777" w:rsidR="00CE297D" w:rsidRPr="00CE297D" w:rsidRDefault="00CE297D" w:rsidP="00CE297D">
            <w:r w:rsidRPr="00CE297D">
              <w:t>€15.000</w:t>
            </w:r>
          </w:p>
        </w:tc>
      </w:tr>
    </w:tbl>
    <w:p w14:paraId="657670E2" w14:textId="208A6D3E" w:rsidR="00CE297D" w:rsidRPr="00CE297D" w:rsidRDefault="00CE297D" w:rsidP="00CE297D"/>
    <w:p w14:paraId="0BD58E28" w14:textId="77777777" w:rsidR="00CE297D" w:rsidRPr="00CE297D" w:rsidRDefault="00CE297D" w:rsidP="007717CD">
      <w:pPr>
        <w:pStyle w:val="Kop3"/>
      </w:pPr>
      <w:r w:rsidRPr="00CE297D">
        <w:lastRenderedPageBreak/>
        <w:t>5.3 Beleggingsadvies (eenmalig)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5"/>
        <w:gridCol w:w="908"/>
        <w:gridCol w:w="663"/>
        <w:gridCol w:w="913"/>
      </w:tblGrid>
      <w:tr w:rsidR="00CE297D" w:rsidRPr="00CE297D" w14:paraId="1CC97568" w14:textId="77777777">
        <w:trPr>
          <w:tblHeader/>
          <w:tblCellSpacing w:w="15" w:type="dxa"/>
        </w:trPr>
        <w:tc>
          <w:tcPr>
            <w:tcW w:w="0" w:type="auto"/>
            <w:vAlign w:val="center"/>
            <w:hideMark/>
          </w:tcPr>
          <w:p w14:paraId="1ABB5845" w14:textId="77777777" w:rsidR="00CE297D" w:rsidRPr="00CE297D" w:rsidRDefault="00CE297D" w:rsidP="00CE297D">
            <w:pPr>
              <w:rPr>
                <w:b/>
                <w:bCs/>
              </w:rPr>
            </w:pPr>
            <w:r w:rsidRPr="00CE297D">
              <w:rPr>
                <w:b/>
                <w:bCs/>
              </w:rPr>
              <w:t>Jaar</w:t>
            </w:r>
          </w:p>
        </w:tc>
        <w:tc>
          <w:tcPr>
            <w:tcW w:w="0" w:type="auto"/>
            <w:vAlign w:val="center"/>
            <w:hideMark/>
          </w:tcPr>
          <w:p w14:paraId="20360A56" w14:textId="77777777" w:rsidR="00CE297D" w:rsidRPr="00CE297D" w:rsidRDefault="00CE297D" w:rsidP="00CE297D">
            <w:pPr>
              <w:rPr>
                <w:b/>
                <w:bCs/>
              </w:rPr>
            </w:pPr>
            <w:r w:rsidRPr="00CE297D">
              <w:rPr>
                <w:b/>
                <w:bCs/>
              </w:rPr>
              <w:t>Klanten</w:t>
            </w:r>
          </w:p>
        </w:tc>
        <w:tc>
          <w:tcPr>
            <w:tcW w:w="0" w:type="auto"/>
            <w:vAlign w:val="center"/>
            <w:hideMark/>
          </w:tcPr>
          <w:p w14:paraId="543752B8" w14:textId="77777777" w:rsidR="00CE297D" w:rsidRPr="00CE297D" w:rsidRDefault="00CE297D" w:rsidP="00CE297D">
            <w:pPr>
              <w:rPr>
                <w:b/>
                <w:bCs/>
              </w:rPr>
            </w:pPr>
            <w:r w:rsidRPr="00CE297D">
              <w:rPr>
                <w:b/>
                <w:bCs/>
              </w:rPr>
              <w:t>Tarief</w:t>
            </w:r>
          </w:p>
        </w:tc>
        <w:tc>
          <w:tcPr>
            <w:tcW w:w="0" w:type="auto"/>
            <w:vAlign w:val="center"/>
            <w:hideMark/>
          </w:tcPr>
          <w:p w14:paraId="696D2FA3" w14:textId="77777777" w:rsidR="00CE297D" w:rsidRPr="00CE297D" w:rsidRDefault="00CE297D" w:rsidP="00CE297D">
            <w:pPr>
              <w:rPr>
                <w:b/>
                <w:bCs/>
              </w:rPr>
            </w:pPr>
            <w:r w:rsidRPr="00CE297D">
              <w:rPr>
                <w:b/>
                <w:bCs/>
              </w:rPr>
              <w:t>Omzet</w:t>
            </w:r>
          </w:p>
        </w:tc>
      </w:tr>
      <w:tr w:rsidR="00CE297D" w:rsidRPr="00CE297D" w14:paraId="3BC4D499" w14:textId="77777777">
        <w:trPr>
          <w:tblCellSpacing w:w="15" w:type="dxa"/>
        </w:trPr>
        <w:tc>
          <w:tcPr>
            <w:tcW w:w="0" w:type="auto"/>
            <w:vAlign w:val="center"/>
            <w:hideMark/>
          </w:tcPr>
          <w:p w14:paraId="77A9CD8D" w14:textId="77777777" w:rsidR="00CE297D" w:rsidRPr="00CE297D" w:rsidRDefault="00CE297D" w:rsidP="00CE297D">
            <w:r w:rsidRPr="00CE297D">
              <w:t>1</w:t>
            </w:r>
          </w:p>
        </w:tc>
        <w:tc>
          <w:tcPr>
            <w:tcW w:w="0" w:type="auto"/>
            <w:vAlign w:val="center"/>
            <w:hideMark/>
          </w:tcPr>
          <w:p w14:paraId="483F91F5" w14:textId="77777777" w:rsidR="00CE297D" w:rsidRPr="00CE297D" w:rsidRDefault="00CE297D" w:rsidP="00CE297D">
            <w:r w:rsidRPr="00CE297D">
              <w:t>30</w:t>
            </w:r>
          </w:p>
        </w:tc>
        <w:tc>
          <w:tcPr>
            <w:tcW w:w="0" w:type="auto"/>
            <w:vAlign w:val="center"/>
            <w:hideMark/>
          </w:tcPr>
          <w:p w14:paraId="49CF4808" w14:textId="77777777" w:rsidR="00CE297D" w:rsidRPr="00CE297D" w:rsidRDefault="00CE297D" w:rsidP="00CE297D">
            <w:r w:rsidRPr="00CE297D">
              <w:t>€400</w:t>
            </w:r>
          </w:p>
        </w:tc>
        <w:tc>
          <w:tcPr>
            <w:tcW w:w="0" w:type="auto"/>
            <w:vAlign w:val="center"/>
            <w:hideMark/>
          </w:tcPr>
          <w:p w14:paraId="300B478E" w14:textId="77777777" w:rsidR="00CE297D" w:rsidRPr="00CE297D" w:rsidRDefault="00CE297D" w:rsidP="00CE297D">
            <w:r w:rsidRPr="00CE297D">
              <w:t>€12.000</w:t>
            </w:r>
          </w:p>
        </w:tc>
      </w:tr>
      <w:tr w:rsidR="00CE297D" w:rsidRPr="00CE297D" w14:paraId="4059C5AB" w14:textId="77777777">
        <w:trPr>
          <w:tblCellSpacing w:w="15" w:type="dxa"/>
        </w:trPr>
        <w:tc>
          <w:tcPr>
            <w:tcW w:w="0" w:type="auto"/>
            <w:vAlign w:val="center"/>
            <w:hideMark/>
          </w:tcPr>
          <w:p w14:paraId="091CCC66" w14:textId="77777777" w:rsidR="00CE297D" w:rsidRPr="00CE297D" w:rsidRDefault="00CE297D" w:rsidP="00CE297D">
            <w:r w:rsidRPr="00CE297D">
              <w:t>2</w:t>
            </w:r>
          </w:p>
        </w:tc>
        <w:tc>
          <w:tcPr>
            <w:tcW w:w="0" w:type="auto"/>
            <w:vAlign w:val="center"/>
            <w:hideMark/>
          </w:tcPr>
          <w:p w14:paraId="30DA1E3A" w14:textId="77777777" w:rsidR="00CE297D" w:rsidRPr="00CE297D" w:rsidRDefault="00CE297D" w:rsidP="00CE297D">
            <w:r w:rsidRPr="00CE297D">
              <w:t>50</w:t>
            </w:r>
          </w:p>
        </w:tc>
        <w:tc>
          <w:tcPr>
            <w:tcW w:w="0" w:type="auto"/>
            <w:vAlign w:val="center"/>
            <w:hideMark/>
          </w:tcPr>
          <w:p w14:paraId="3AC66140" w14:textId="77777777" w:rsidR="00CE297D" w:rsidRPr="00CE297D" w:rsidRDefault="00CE297D" w:rsidP="00CE297D">
            <w:r w:rsidRPr="00CE297D">
              <w:t>€400</w:t>
            </w:r>
          </w:p>
        </w:tc>
        <w:tc>
          <w:tcPr>
            <w:tcW w:w="0" w:type="auto"/>
            <w:vAlign w:val="center"/>
            <w:hideMark/>
          </w:tcPr>
          <w:p w14:paraId="678DA758" w14:textId="77777777" w:rsidR="00CE297D" w:rsidRPr="00CE297D" w:rsidRDefault="00CE297D" w:rsidP="00CE297D">
            <w:r w:rsidRPr="00CE297D">
              <w:t>€20.000</w:t>
            </w:r>
          </w:p>
        </w:tc>
      </w:tr>
      <w:tr w:rsidR="00CE297D" w:rsidRPr="00CE297D" w14:paraId="66C60A76" w14:textId="77777777">
        <w:trPr>
          <w:tblCellSpacing w:w="15" w:type="dxa"/>
        </w:trPr>
        <w:tc>
          <w:tcPr>
            <w:tcW w:w="0" w:type="auto"/>
            <w:vAlign w:val="center"/>
            <w:hideMark/>
          </w:tcPr>
          <w:p w14:paraId="4F00FDC6" w14:textId="77777777" w:rsidR="00CE297D" w:rsidRPr="00CE297D" w:rsidRDefault="00CE297D" w:rsidP="00CE297D">
            <w:r w:rsidRPr="00CE297D">
              <w:t>3</w:t>
            </w:r>
          </w:p>
        </w:tc>
        <w:tc>
          <w:tcPr>
            <w:tcW w:w="0" w:type="auto"/>
            <w:vAlign w:val="center"/>
            <w:hideMark/>
          </w:tcPr>
          <w:p w14:paraId="741467CC" w14:textId="77777777" w:rsidR="00CE297D" w:rsidRPr="00CE297D" w:rsidRDefault="00CE297D" w:rsidP="00CE297D">
            <w:r w:rsidRPr="00CE297D">
              <w:t>85</w:t>
            </w:r>
          </w:p>
        </w:tc>
        <w:tc>
          <w:tcPr>
            <w:tcW w:w="0" w:type="auto"/>
            <w:vAlign w:val="center"/>
            <w:hideMark/>
          </w:tcPr>
          <w:p w14:paraId="4DDEF944" w14:textId="77777777" w:rsidR="00CE297D" w:rsidRPr="00CE297D" w:rsidRDefault="00CE297D" w:rsidP="00CE297D">
            <w:r w:rsidRPr="00CE297D">
              <w:t>€400</w:t>
            </w:r>
          </w:p>
        </w:tc>
        <w:tc>
          <w:tcPr>
            <w:tcW w:w="0" w:type="auto"/>
            <w:vAlign w:val="center"/>
            <w:hideMark/>
          </w:tcPr>
          <w:p w14:paraId="7E0D7ECA" w14:textId="77777777" w:rsidR="00CE297D" w:rsidRPr="00CE297D" w:rsidRDefault="00CE297D" w:rsidP="00CE297D">
            <w:r w:rsidRPr="00CE297D">
              <w:t>€34.000</w:t>
            </w:r>
          </w:p>
        </w:tc>
      </w:tr>
    </w:tbl>
    <w:p w14:paraId="568C2D1A" w14:textId="0B539511" w:rsidR="00CE297D" w:rsidRDefault="00CE297D" w:rsidP="00CE297D"/>
    <w:p w14:paraId="56558490" w14:textId="77777777" w:rsidR="007717CD" w:rsidRPr="00CE297D" w:rsidRDefault="007717CD" w:rsidP="00CE297D"/>
    <w:p w14:paraId="5AAB2F49" w14:textId="77777777" w:rsidR="00CE297D" w:rsidRPr="00CE297D" w:rsidRDefault="00CE297D" w:rsidP="007717CD">
      <w:pPr>
        <w:pStyle w:val="Kop3"/>
      </w:pPr>
      <w:r w:rsidRPr="00CE297D">
        <w:t xml:space="preserve">5.4 </w:t>
      </w:r>
      <w:proofErr w:type="spellStart"/>
      <w:r w:rsidRPr="00CE297D">
        <w:t>Servicefee</w:t>
      </w:r>
      <w:proofErr w:type="spellEnd"/>
      <w:r w:rsidRPr="00CE297D">
        <w:t xml:space="preserve"> duurzaam vermogen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5"/>
        <w:gridCol w:w="1226"/>
        <w:gridCol w:w="913"/>
      </w:tblGrid>
      <w:tr w:rsidR="00CE297D" w:rsidRPr="00CE297D" w14:paraId="754AC793" w14:textId="77777777">
        <w:trPr>
          <w:tblHeader/>
          <w:tblCellSpacing w:w="15" w:type="dxa"/>
        </w:trPr>
        <w:tc>
          <w:tcPr>
            <w:tcW w:w="0" w:type="auto"/>
            <w:vAlign w:val="center"/>
            <w:hideMark/>
          </w:tcPr>
          <w:p w14:paraId="7441F27C" w14:textId="77777777" w:rsidR="00CE297D" w:rsidRPr="00CE297D" w:rsidRDefault="00CE297D" w:rsidP="00CE297D">
            <w:pPr>
              <w:rPr>
                <w:b/>
                <w:bCs/>
              </w:rPr>
            </w:pPr>
            <w:r w:rsidRPr="00CE297D">
              <w:rPr>
                <w:b/>
                <w:bCs/>
              </w:rPr>
              <w:t>Jaar</w:t>
            </w:r>
          </w:p>
        </w:tc>
        <w:tc>
          <w:tcPr>
            <w:tcW w:w="0" w:type="auto"/>
            <w:vAlign w:val="center"/>
            <w:hideMark/>
          </w:tcPr>
          <w:p w14:paraId="21007FA0" w14:textId="77777777" w:rsidR="00CE297D" w:rsidRPr="00CE297D" w:rsidRDefault="00CE297D" w:rsidP="00CE297D">
            <w:pPr>
              <w:rPr>
                <w:b/>
                <w:bCs/>
              </w:rPr>
            </w:pPr>
            <w:proofErr w:type="spellStart"/>
            <w:r w:rsidRPr="00CE297D">
              <w:rPr>
                <w:b/>
                <w:bCs/>
              </w:rPr>
              <w:t>Servicefee</w:t>
            </w:r>
            <w:proofErr w:type="spellEnd"/>
          </w:p>
        </w:tc>
        <w:tc>
          <w:tcPr>
            <w:tcW w:w="0" w:type="auto"/>
            <w:vAlign w:val="center"/>
            <w:hideMark/>
          </w:tcPr>
          <w:p w14:paraId="2B2CEB47" w14:textId="77777777" w:rsidR="00CE297D" w:rsidRPr="00CE297D" w:rsidRDefault="00CE297D" w:rsidP="00CE297D">
            <w:pPr>
              <w:rPr>
                <w:b/>
                <w:bCs/>
              </w:rPr>
            </w:pPr>
            <w:r w:rsidRPr="00CE297D">
              <w:rPr>
                <w:b/>
                <w:bCs/>
              </w:rPr>
              <w:t>Omzet</w:t>
            </w:r>
          </w:p>
        </w:tc>
      </w:tr>
      <w:tr w:rsidR="00CE297D" w:rsidRPr="00CE297D" w14:paraId="3E31A029" w14:textId="77777777">
        <w:trPr>
          <w:tblCellSpacing w:w="15" w:type="dxa"/>
        </w:trPr>
        <w:tc>
          <w:tcPr>
            <w:tcW w:w="0" w:type="auto"/>
            <w:vAlign w:val="center"/>
            <w:hideMark/>
          </w:tcPr>
          <w:p w14:paraId="50D748DD" w14:textId="77777777" w:rsidR="00CE297D" w:rsidRPr="00CE297D" w:rsidRDefault="00CE297D" w:rsidP="00CE297D">
            <w:r w:rsidRPr="00CE297D">
              <w:t>1</w:t>
            </w:r>
          </w:p>
        </w:tc>
        <w:tc>
          <w:tcPr>
            <w:tcW w:w="0" w:type="auto"/>
            <w:vAlign w:val="center"/>
            <w:hideMark/>
          </w:tcPr>
          <w:p w14:paraId="6E1326DE" w14:textId="77777777" w:rsidR="00CE297D" w:rsidRPr="00CE297D" w:rsidRDefault="00CE297D" w:rsidP="00CE297D">
            <w:r w:rsidRPr="00CE297D">
              <w:t>0,6%</w:t>
            </w:r>
          </w:p>
        </w:tc>
        <w:tc>
          <w:tcPr>
            <w:tcW w:w="0" w:type="auto"/>
            <w:vAlign w:val="center"/>
            <w:hideMark/>
          </w:tcPr>
          <w:p w14:paraId="6FC6F1A8" w14:textId="77777777" w:rsidR="00CE297D" w:rsidRPr="00CE297D" w:rsidRDefault="00CE297D" w:rsidP="00CE297D">
            <w:r w:rsidRPr="00CE297D">
              <w:t>€4.800</w:t>
            </w:r>
          </w:p>
        </w:tc>
      </w:tr>
      <w:tr w:rsidR="00CE297D" w:rsidRPr="00CE297D" w14:paraId="6F030979" w14:textId="77777777">
        <w:trPr>
          <w:tblCellSpacing w:w="15" w:type="dxa"/>
        </w:trPr>
        <w:tc>
          <w:tcPr>
            <w:tcW w:w="0" w:type="auto"/>
            <w:vAlign w:val="center"/>
            <w:hideMark/>
          </w:tcPr>
          <w:p w14:paraId="10DA0E8D" w14:textId="77777777" w:rsidR="00CE297D" w:rsidRPr="00CE297D" w:rsidRDefault="00CE297D" w:rsidP="00CE297D">
            <w:r w:rsidRPr="00CE297D">
              <w:t>2</w:t>
            </w:r>
          </w:p>
        </w:tc>
        <w:tc>
          <w:tcPr>
            <w:tcW w:w="0" w:type="auto"/>
            <w:vAlign w:val="center"/>
            <w:hideMark/>
          </w:tcPr>
          <w:p w14:paraId="186CFFE8" w14:textId="77777777" w:rsidR="00CE297D" w:rsidRPr="00CE297D" w:rsidRDefault="00CE297D" w:rsidP="00CE297D">
            <w:r w:rsidRPr="00CE297D">
              <w:t>0,6%</w:t>
            </w:r>
          </w:p>
        </w:tc>
        <w:tc>
          <w:tcPr>
            <w:tcW w:w="0" w:type="auto"/>
            <w:vAlign w:val="center"/>
            <w:hideMark/>
          </w:tcPr>
          <w:p w14:paraId="28A2221A" w14:textId="77777777" w:rsidR="00CE297D" w:rsidRPr="00CE297D" w:rsidRDefault="00CE297D" w:rsidP="00CE297D">
            <w:r w:rsidRPr="00CE297D">
              <w:t>€9.000</w:t>
            </w:r>
          </w:p>
        </w:tc>
      </w:tr>
      <w:tr w:rsidR="00CE297D" w:rsidRPr="00CE297D" w14:paraId="1E5D3955" w14:textId="77777777">
        <w:trPr>
          <w:tblCellSpacing w:w="15" w:type="dxa"/>
        </w:trPr>
        <w:tc>
          <w:tcPr>
            <w:tcW w:w="0" w:type="auto"/>
            <w:vAlign w:val="center"/>
            <w:hideMark/>
          </w:tcPr>
          <w:p w14:paraId="628F527A" w14:textId="77777777" w:rsidR="00CE297D" w:rsidRPr="00CE297D" w:rsidRDefault="00CE297D" w:rsidP="00CE297D">
            <w:r w:rsidRPr="00CE297D">
              <w:t>3</w:t>
            </w:r>
          </w:p>
        </w:tc>
        <w:tc>
          <w:tcPr>
            <w:tcW w:w="0" w:type="auto"/>
            <w:vAlign w:val="center"/>
            <w:hideMark/>
          </w:tcPr>
          <w:p w14:paraId="2F5C0556" w14:textId="77777777" w:rsidR="00CE297D" w:rsidRPr="00CE297D" w:rsidRDefault="00CE297D" w:rsidP="00CE297D">
            <w:r w:rsidRPr="00CE297D">
              <w:t>0,6%</w:t>
            </w:r>
          </w:p>
        </w:tc>
        <w:tc>
          <w:tcPr>
            <w:tcW w:w="0" w:type="auto"/>
            <w:vAlign w:val="center"/>
            <w:hideMark/>
          </w:tcPr>
          <w:p w14:paraId="7845871C" w14:textId="77777777" w:rsidR="00CE297D" w:rsidRPr="00CE297D" w:rsidRDefault="00CE297D" w:rsidP="00CE297D">
            <w:r w:rsidRPr="00CE297D">
              <w:t>€27.000</w:t>
            </w:r>
          </w:p>
        </w:tc>
      </w:tr>
    </w:tbl>
    <w:p w14:paraId="796D249A" w14:textId="74A22432" w:rsidR="00CE297D" w:rsidRPr="00CE297D" w:rsidRDefault="00CE297D" w:rsidP="00CE297D"/>
    <w:p w14:paraId="6B222705" w14:textId="77777777" w:rsidR="00CE297D" w:rsidRPr="00CE297D" w:rsidRDefault="00CE297D" w:rsidP="007717CD">
      <w:pPr>
        <w:pStyle w:val="Kop3"/>
      </w:pPr>
      <w:r w:rsidRPr="00CE297D">
        <w:t>5.5 Totale omzet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7"/>
        <w:gridCol w:w="1464"/>
      </w:tblGrid>
      <w:tr w:rsidR="00CE297D" w:rsidRPr="00CE297D" w14:paraId="4B11E12C" w14:textId="77777777">
        <w:trPr>
          <w:tblHeader/>
          <w:tblCellSpacing w:w="15" w:type="dxa"/>
        </w:trPr>
        <w:tc>
          <w:tcPr>
            <w:tcW w:w="0" w:type="auto"/>
            <w:vAlign w:val="center"/>
            <w:hideMark/>
          </w:tcPr>
          <w:p w14:paraId="183FED6B" w14:textId="77777777" w:rsidR="00CE297D" w:rsidRPr="00CE297D" w:rsidRDefault="00CE297D" w:rsidP="00CE297D">
            <w:pPr>
              <w:rPr>
                <w:b/>
                <w:bCs/>
              </w:rPr>
            </w:pPr>
            <w:r w:rsidRPr="00CE297D">
              <w:rPr>
                <w:b/>
                <w:bCs/>
              </w:rPr>
              <w:t>Jaar</w:t>
            </w:r>
          </w:p>
        </w:tc>
        <w:tc>
          <w:tcPr>
            <w:tcW w:w="0" w:type="auto"/>
            <w:vAlign w:val="center"/>
            <w:hideMark/>
          </w:tcPr>
          <w:p w14:paraId="6783EC6C" w14:textId="77777777" w:rsidR="00CE297D" w:rsidRPr="00CE297D" w:rsidRDefault="00CE297D" w:rsidP="00CE297D">
            <w:pPr>
              <w:rPr>
                <w:b/>
                <w:bCs/>
              </w:rPr>
            </w:pPr>
            <w:r w:rsidRPr="00CE297D">
              <w:rPr>
                <w:b/>
                <w:bCs/>
              </w:rPr>
              <w:t>Totale omzet</w:t>
            </w:r>
          </w:p>
        </w:tc>
      </w:tr>
      <w:tr w:rsidR="00CE297D" w:rsidRPr="00CE297D" w14:paraId="56EF6902" w14:textId="77777777">
        <w:trPr>
          <w:tblCellSpacing w:w="15" w:type="dxa"/>
        </w:trPr>
        <w:tc>
          <w:tcPr>
            <w:tcW w:w="0" w:type="auto"/>
            <w:vAlign w:val="center"/>
            <w:hideMark/>
          </w:tcPr>
          <w:p w14:paraId="07F82B15" w14:textId="77777777" w:rsidR="00CE297D" w:rsidRPr="00CE297D" w:rsidRDefault="00CE297D" w:rsidP="00CE297D">
            <w:r w:rsidRPr="00CE297D">
              <w:t>Jaar 1</w:t>
            </w:r>
          </w:p>
        </w:tc>
        <w:tc>
          <w:tcPr>
            <w:tcW w:w="0" w:type="auto"/>
            <w:vAlign w:val="center"/>
            <w:hideMark/>
          </w:tcPr>
          <w:p w14:paraId="56996CCA" w14:textId="77777777" w:rsidR="00CE297D" w:rsidRPr="00CE297D" w:rsidRDefault="00CE297D" w:rsidP="00CE297D">
            <w:r w:rsidRPr="00CE297D">
              <w:rPr>
                <w:b/>
                <w:bCs/>
              </w:rPr>
              <w:t>€256.550</w:t>
            </w:r>
          </w:p>
        </w:tc>
      </w:tr>
      <w:tr w:rsidR="00CE297D" w:rsidRPr="00CE297D" w14:paraId="42F33106" w14:textId="77777777">
        <w:trPr>
          <w:tblCellSpacing w:w="15" w:type="dxa"/>
        </w:trPr>
        <w:tc>
          <w:tcPr>
            <w:tcW w:w="0" w:type="auto"/>
            <w:vAlign w:val="center"/>
            <w:hideMark/>
          </w:tcPr>
          <w:p w14:paraId="399C5395" w14:textId="77777777" w:rsidR="00CE297D" w:rsidRPr="00CE297D" w:rsidRDefault="00CE297D" w:rsidP="00CE297D">
            <w:r w:rsidRPr="00CE297D">
              <w:t>Jaar 2</w:t>
            </w:r>
          </w:p>
        </w:tc>
        <w:tc>
          <w:tcPr>
            <w:tcW w:w="0" w:type="auto"/>
            <w:vAlign w:val="center"/>
            <w:hideMark/>
          </w:tcPr>
          <w:p w14:paraId="3D3F5D83" w14:textId="77777777" w:rsidR="00CE297D" w:rsidRPr="00CE297D" w:rsidRDefault="00CE297D" w:rsidP="00CE297D">
            <w:r w:rsidRPr="00CE297D">
              <w:rPr>
                <w:b/>
                <w:bCs/>
              </w:rPr>
              <w:t>€314.500</w:t>
            </w:r>
          </w:p>
        </w:tc>
      </w:tr>
      <w:tr w:rsidR="00CE297D" w:rsidRPr="00CE297D" w14:paraId="6AD85D3B" w14:textId="77777777">
        <w:trPr>
          <w:tblCellSpacing w:w="15" w:type="dxa"/>
        </w:trPr>
        <w:tc>
          <w:tcPr>
            <w:tcW w:w="0" w:type="auto"/>
            <w:vAlign w:val="center"/>
            <w:hideMark/>
          </w:tcPr>
          <w:p w14:paraId="06AC8322" w14:textId="77777777" w:rsidR="00CE297D" w:rsidRPr="00CE297D" w:rsidRDefault="00CE297D" w:rsidP="00CE297D">
            <w:r w:rsidRPr="00CE297D">
              <w:t>Jaar 3</w:t>
            </w:r>
          </w:p>
        </w:tc>
        <w:tc>
          <w:tcPr>
            <w:tcW w:w="0" w:type="auto"/>
            <w:vAlign w:val="center"/>
            <w:hideMark/>
          </w:tcPr>
          <w:p w14:paraId="232F5B90" w14:textId="77777777" w:rsidR="00CE297D" w:rsidRPr="00CE297D" w:rsidRDefault="00CE297D" w:rsidP="00CE297D">
            <w:r w:rsidRPr="00CE297D">
              <w:rPr>
                <w:b/>
                <w:bCs/>
              </w:rPr>
              <w:t>€433.500</w:t>
            </w:r>
          </w:p>
        </w:tc>
      </w:tr>
    </w:tbl>
    <w:p w14:paraId="097D89F0" w14:textId="36AF0D68" w:rsidR="00CE297D" w:rsidRPr="00CE297D" w:rsidRDefault="00CE297D" w:rsidP="00CE297D"/>
    <w:p w14:paraId="30216613" w14:textId="77777777" w:rsidR="00CE297D" w:rsidRPr="00CE297D" w:rsidRDefault="00CE297D" w:rsidP="007717CD">
      <w:pPr>
        <w:pStyle w:val="Kop2"/>
      </w:pPr>
      <w:r w:rsidRPr="00CE297D">
        <w:t>6. Kostenmodel</w:t>
      </w:r>
    </w:p>
    <w:p w14:paraId="0C55AEFD" w14:textId="77777777" w:rsidR="00CE297D" w:rsidRPr="00CE297D" w:rsidRDefault="00CE297D" w:rsidP="007717CD">
      <w:pPr>
        <w:pStyle w:val="Kop3"/>
      </w:pPr>
      <w:r w:rsidRPr="00CE297D">
        <w:t>6.1 Vaste bedrijfskosten (per jaar)</w:t>
      </w:r>
    </w:p>
    <w:p w14:paraId="4E26C958" w14:textId="77777777" w:rsidR="00CE297D" w:rsidRPr="007717CD" w:rsidRDefault="00CE297D" w:rsidP="00CE297D">
      <w:pPr>
        <w:numPr>
          <w:ilvl w:val="0"/>
          <w:numId w:val="6"/>
        </w:numPr>
      </w:pPr>
      <w:r w:rsidRPr="007717CD">
        <w:t xml:space="preserve">Huur kantoor </w:t>
      </w:r>
      <w:proofErr w:type="spellStart"/>
      <w:r w:rsidRPr="007717CD">
        <w:t>Bezuidenhout</w:t>
      </w:r>
      <w:proofErr w:type="spellEnd"/>
      <w:r w:rsidRPr="007717CD">
        <w:t>: €30.000</w:t>
      </w:r>
    </w:p>
    <w:p w14:paraId="41071FF7" w14:textId="77777777" w:rsidR="00CE297D" w:rsidRPr="00CE297D" w:rsidRDefault="00CE297D" w:rsidP="00CE297D">
      <w:pPr>
        <w:numPr>
          <w:ilvl w:val="0"/>
          <w:numId w:val="6"/>
        </w:numPr>
      </w:pPr>
      <w:r w:rsidRPr="00CE297D">
        <w:t>Software &amp; CRM: €7.000</w:t>
      </w:r>
    </w:p>
    <w:p w14:paraId="49622F41" w14:textId="77777777" w:rsidR="00CE297D" w:rsidRPr="00CE297D" w:rsidRDefault="00CE297D" w:rsidP="00CE297D">
      <w:pPr>
        <w:numPr>
          <w:ilvl w:val="0"/>
          <w:numId w:val="6"/>
        </w:numPr>
      </w:pPr>
      <w:r w:rsidRPr="00CE297D">
        <w:t>Marketing: €10.000</w:t>
      </w:r>
    </w:p>
    <w:p w14:paraId="56BBB95D" w14:textId="77777777" w:rsidR="00CE297D" w:rsidRPr="00CE297D" w:rsidRDefault="00CE297D" w:rsidP="00CE297D">
      <w:pPr>
        <w:numPr>
          <w:ilvl w:val="0"/>
          <w:numId w:val="6"/>
        </w:numPr>
      </w:pPr>
      <w:r w:rsidRPr="00CE297D">
        <w:t>AFM &amp; vergunningen: €3.500</w:t>
      </w:r>
    </w:p>
    <w:p w14:paraId="7AC2FC13" w14:textId="77777777" w:rsidR="00CE297D" w:rsidRPr="00CE297D" w:rsidRDefault="00CE297D" w:rsidP="00CE297D">
      <w:pPr>
        <w:numPr>
          <w:ilvl w:val="0"/>
          <w:numId w:val="6"/>
        </w:numPr>
      </w:pPr>
      <w:r w:rsidRPr="00CE297D">
        <w:t>Verzekeringen: €1.500</w:t>
      </w:r>
    </w:p>
    <w:p w14:paraId="254D5632" w14:textId="77777777" w:rsidR="00CE297D" w:rsidRPr="00CE297D" w:rsidRDefault="00CE297D" w:rsidP="00CE297D">
      <w:pPr>
        <w:numPr>
          <w:ilvl w:val="0"/>
          <w:numId w:val="6"/>
        </w:numPr>
      </w:pPr>
      <w:r w:rsidRPr="00CE297D">
        <w:lastRenderedPageBreak/>
        <w:t>Telefoon/internet: €1.500</w:t>
      </w:r>
    </w:p>
    <w:p w14:paraId="22F08838" w14:textId="77777777" w:rsidR="00CE297D" w:rsidRPr="00CE297D" w:rsidRDefault="00CE297D" w:rsidP="00CE297D">
      <w:pPr>
        <w:numPr>
          <w:ilvl w:val="0"/>
          <w:numId w:val="6"/>
        </w:numPr>
      </w:pPr>
      <w:r w:rsidRPr="00CE297D">
        <w:t>Opleidingen &amp; PE: €3.000</w:t>
      </w:r>
    </w:p>
    <w:p w14:paraId="00A68DD6" w14:textId="77777777" w:rsidR="00CE297D" w:rsidRPr="00CE297D" w:rsidRDefault="00CE297D" w:rsidP="00CE297D">
      <w:pPr>
        <w:numPr>
          <w:ilvl w:val="0"/>
          <w:numId w:val="6"/>
        </w:numPr>
      </w:pPr>
      <w:r w:rsidRPr="00CE297D">
        <w:t>Kantoorbenodigdheden: €2.000</w:t>
      </w:r>
    </w:p>
    <w:p w14:paraId="6626C9B6" w14:textId="6191DF8E" w:rsidR="007717CD" w:rsidRDefault="00CE297D" w:rsidP="00CE297D">
      <w:r w:rsidRPr="00CE297D">
        <w:rPr>
          <w:b/>
          <w:bCs/>
        </w:rPr>
        <w:t>Totale vaste kosten: €58.500 per jaar</w:t>
      </w:r>
    </w:p>
    <w:p w14:paraId="39D2CA63" w14:textId="77777777" w:rsidR="007A12E8" w:rsidRPr="00CE297D" w:rsidRDefault="007A12E8" w:rsidP="00CE297D"/>
    <w:p w14:paraId="081E6C20" w14:textId="77777777" w:rsidR="00CE297D" w:rsidRPr="00CE297D" w:rsidRDefault="00CE297D" w:rsidP="007717CD">
      <w:pPr>
        <w:pStyle w:val="Kop3"/>
      </w:pPr>
      <w:r w:rsidRPr="00CE297D">
        <w:t>6.2 Salarissen</w:t>
      </w:r>
    </w:p>
    <w:p w14:paraId="1226B556" w14:textId="77777777" w:rsidR="00CE297D" w:rsidRPr="00CE297D" w:rsidRDefault="00CE297D" w:rsidP="00CE297D">
      <w:r w:rsidRPr="00CE297D">
        <w:t>Alle vijf eigenaren werken fulltime. Het gekozen salaris bedraagt:</w:t>
      </w:r>
    </w:p>
    <w:p w14:paraId="72075013" w14:textId="77777777" w:rsidR="00CE297D" w:rsidRPr="00CE297D" w:rsidRDefault="00CE297D" w:rsidP="00CE297D">
      <w:pPr>
        <w:numPr>
          <w:ilvl w:val="0"/>
          <w:numId w:val="7"/>
        </w:numPr>
      </w:pPr>
      <w:r w:rsidRPr="00CE297D">
        <w:rPr>
          <w:b/>
          <w:bCs/>
        </w:rPr>
        <w:t>€35.000 per eigenaar per jaar</w:t>
      </w:r>
    </w:p>
    <w:p w14:paraId="1D97CCB6" w14:textId="77777777" w:rsidR="00CE297D" w:rsidRPr="00CE297D" w:rsidRDefault="00CE297D" w:rsidP="00CE297D">
      <w:r w:rsidRPr="00CE297D">
        <w:t xml:space="preserve">Totale salariskosten: </w:t>
      </w:r>
      <w:r w:rsidRPr="00CE297D">
        <w:rPr>
          <w:b/>
          <w:bCs/>
        </w:rPr>
        <w:t>€175.000</w:t>
      </w:r>
    </w:p>
    <w:p w14:paraId="6395137E" w14:textId="7DBF3BAF" w:rsidR="00CE297D" w:rsidRPr="00CE297D" w:rsidRDefault="00CE297D" w:rsidP="00CE297D"/>
    <w:p w14:paraId="6919BD82" w14:textId="77777777" w:rsidR="00CE297D" w:rsidRPr="00CE297D" w:rsidRDefault="00CE297D" w:rsidP="007717CD">
      <w:pPr>
        <w:pStyle w:val="Kop3"/>
      </w:pPr>
      <w:r w:rsidRPr="00CE297D">
        <w:t>6.3 Totale jaarlijkse kosten</w:t>
      </w:r>
    </w:p>
    <w:p w14:paraId="1B882448" w14:textId="77777777" w:rsidR="00CE297D" w:rsidRPr="00CE297D" w:rsidRDefault="00CE297D" w:rsidP="00CE297D">
      <w:r w:rsidRPr="00CE297D">
        <w:rPr>
          <w:b/>
          <w:bCs/>
        </w:rPr>
        <w:t>€233.500 per jaar</w:t>
      </w:r>
    </w:p>
    <w:p w14:paraId="50E4A1E4" w14:textId="567FBE95" w:rsidR="00CE297D" w:rsidRPr="00CE297D" w:rsidRDefault="00CE297D" w:rsidP="00CE297D"/>
    <w:p w14:paraId="6E238975" w14:textId="77777777" w:rsidR="00CE297D" w:rsidRPr="00CE297D" w:rsidRDefault="00CE297D" w:rsidP="007717CD">
      <w:pPr>
        <w:pStyle w:val="Kop2"/>
      </w:pPr>
      <w:r w:rsidRPr="00CE297D">
        <w:t>7. Exploitatiebegroting (3 jaren)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7"/>
        <w:gridCol w:w="1026"/>
        <w:gridCol w:w="1026"/>
        <w:gridCol w:w="1045"/>
      </w:tblGrid>
      <w:tr w:rsidR="00CE297D" w:rsidRPr="00CE297D" w14:paraId="64D26310" w14:textId="77777777">
        <w:trPr>
          <w:tblHeader/>
          <w:tblCellSpacing w:w="15" w:type="dxa"/>
        </w:trPr>
        <w:tc>
          <w:tcPr>
            <w:tcW w:w="0" w:type="auto"/>
            <w:vAlign w:val="center"/>
            <w:hideMark/>
          </w:tcPr>
          <w:p w14:paraId="645D4157" w14:textId="77777777" w:rsidR="00CE297D" w:rsidRPr="00CE297D" w:rsidRDefault="00CE297D" w:rsidP="00CE297D">
            <w:pPr>
              <w:rPr>
                <w:b/>
                <w:bCs/>
              </w:rPr>
            </w:pPr>
            <w:r w:rsidRPr="00CE297D">
              <w:rPr>
                <w:b/>
                <w:bCs/>
              </w:rPr>
              <w:t>Jaar</w:t>
            </w:r>
          </w:p>
        </w:tc>
        <w:tc>
          <w:tcPr>
            <w:tcW w:w="0" w:type="auto"/>
            <w:vAlign w:val="center"/>
            <w:hideMark/>
          </w:tcPr>
          <w:p w14:paraId="68A09FEA" w14:textId="77777777" w:rsidR="00CE297D" w:rsidRPr="00CE297D" w:rsidRDefault="00CE297D" w:rsidP="00CE297D">
            <w:pPr>
              <w:rPr>
                <w:b/>
                <w:bCs/>
              </w:rPr>
            </w:pPr>
            <w:r w:rsidRPr="00CE297D">
              <w:rPr>
                <w:b/>
                <w:bCs/>
              </w:rPr>
              <w:t>Omzet</w:t>
            </w:r>
          </w:p>
        </w:tc>
        <w:tc>
          <w:tcPr>
            <w:tcW w:w="0" w:type="auto"/>
            <w:vAlign w:val="center"/>
            <w:hideMark/>
          </w:tcPr>
          <w:p w14:paraId="7523B0C4" w14:textId="77777777" w:rsidR="00CE297D" w:rsidRPr="00CE297D" w:rsidRDefault="00CE297D" w:rsidP="00CE297D">
            <w:pPr>
              <w:rPr>
                <w:b/>
                <w:bCs/>
              </w:rPr>
            </w:pPr>
            <w:r w:rsidRPr="00CE297D">
              <w:rPr>
                <w:b/>
                <w:bCs/>
              </w:rPr>
              <w:t>Kosten</w:t>
            </w:r>
          </w:p>
        </w:tc>
        <w:tc>
          <w:tcPr>
            <w:tcW w:w="0" w:type="auto"/>
            <w:vAlign w:val="center"/>
            <w:hideMark/>
          </w:tcPr>
          <w:p w14:paraId="75414A75" w14:textId="77777777" w:rsidR="00CE297D" w:rsidRPr="00CE297D" w:rsidRDefault="00CE297D" w:rsidP="00CE297D">
            <w:pPr>
              <w:rPr>
                <w:b/>
                <w:bCs/>
              </w:rPr>
            </w:pPr>
            <w:r w:rsidRPr="00CE297D">
              <w:rPr>
                <w:b/>
                <w:bCs/>
              </w:rPr>
              <w:t>Winst</w:t>
            </w:r>
          </w:p>
        </w:tc>
      </w:tr>
      <w:tr w:rsidR="00CE297D" w:rsidRPr="00CE297D" w14:paraId="646DD97B" w14:textId="77777777">
        <w:trPr>
          <w:tblCellSpacing w:w="15" w:type="dxa"/>
        </w:trPr>
        <w:tc>
          <w:tcPr>
            <w:tcW w:w="0" w:type="auto"/>
            <w:vAlign w:val="center"/>
            <w:hideMark/>
          </w:tcPr>
          <w:p w14:paraId="762F40B0" w14:textId="77777777" w:rsidR="00CE297D" w:rsidRPr="00CE297D" w:rsidRDefault="00CE297D" w:rsidP="00CE297D">
            <w:r w:rsidRPr="00CE297D">
              <w:t>Jaar 1</w:t>
            </w:r>
          </w:p>
        </w:tc>
        <w:tc>
          <w:tcPr>
            <w:tcW w:w="0" w:type="auto"/>
            <w:vAlign w:val="center"/>
            <w:hideMark/>
          </w:tcPr>
          <w:p w14:paraId="0DD1A503" w14:textId="77777777" w:rsidR="00CE297D" w:rsidRPr="00CE297D" w:rsidRDefault="00CE297D" w:rsidP="00CE297D">
            <w:r w:rsidRPr="00CE297D">
              <w:t>€256.550</w:t>
            </w:r>
          </w:p>
        </w:tc>
        <w:tc>
          <w:tcPr>
            <w:tcW w:w="0" w:type="auto"/>
            <w:vAlign w:val="center"/>
            <w:hideMark/>
          </w:tcPr>
          <w:p w14:paraId="3EB42E58" w14:textId="77777777" w:rsidR="00CE297D" w:rsidRPr="00CE297D" w:rsidRDefault="00CE297D" w:rsidP="00CE297D">
            <w:r w:rsidRPr="00CE297D">
              <w:t>€233.500</w:t>
            </w:r>
          </w:p>
        </w:tc>
        <w:tc>
          <w:tcPr>
            <w:tcW w:w="0" w:type="auto"/>
            <w:vAlign w:val="center"/>
            <w:hideMark/>
          </w:tcPr>
          <w:p w14:paraId="2162C009" w14:textId="77777777" w:rsidR="00CE297D" w:rsidRPr="00CE297D" w:rsidRDefault="00CE297D" w:rsidP="00CE297D">
            <w:r w:rsidRPr="00CE297D">
              <w:rPr>
                <w:b/>
                <w:bCs/>
              </w:rPr>
              <w:t>€23.050</w:t>
            </w:r>
          </w:p>
        </w:tc>
      </w:tr>
      <w:tr w:rsidR="00CE297D" w:rsidRPr="00CE297D" w14:paraId="361EF3BE" w14:textId="77777777">
        <w:trPr>
          <w:tblCellSpacing w:w="15" w:type="dxa"/>
        </w:trPr>
        <w:tc>
          <w:tcPr>
            <w:tcW w:w="0" w:type="auto"/>
            <w:vAlign w:val="center"/>
            <w:hideMark/>
          </w:tcPr>
          <w:p w14:paraId="653D3712" w14:textId="77777777" w:rsidR="00CE297D" w:rsidRPr="00CE297D" w:rsidRDefault="00CE297D" w:rsidP="00CE297D">
            <w:r w:rsidRPr="00CE297D">
              <w:t>Jaar 2</w:t>
            </w:r>
          </w:p>
        </w:tc>
        <w:tc>
          <w:tcPr>
            <w:tcW w:w="0" w:type="auto"/>
            <w:vAlign w:val="center"/>
            <w:hideMark/>
          </w:tcPr>
          <w:p w14:paraId="7876A340" w14:textId="77777777" w:rsidR="00CE297D" w:rsidRPr="00CE297D" w:rsidRDefault="00CE297D" w:rsidP="00CE297D">
            <w:r w:rsidRPr="00CE297D">
              <w:t>€314.500</w:t>
            </w:r>
          </w:p>
        </w:tc>
        <w:tc>
          <w:tcPr>
            <w:tcW w:w="0" w:type="auto"/>
            <w:vAlign w:val="center"/>
            <w:hideMark/>
          </w:tcPr>
          <w:p w14:paraId="7A61B5CC" w14:textId="77777777" w:rsidR="00CE297D" w:rsidRPr="00CE297D" w:rsidRDefault="00CE297D" w:rsidP="00CE297D">
            <w:r w:rsidRPr="00CE297D">
              <w:t>€238.500</w:t>
            </w:r>
          </w:p>
        </w:tc>
        <w:tc>
          <w:tcPr>
            <w:tcW w:w="0" w:type="auto"/>
            <w:vAlign w:val="center"/>
            <w:hideMark/>
          </w:tcPr>
          <w:p w14:paraId="11885484" w14:textId="77777777" w:rsidR="00CE297D" w:rsidRPr="00CE297D" w:rsidRDefault="00CE297D" w:rsidP="00CE297D">
            <w:r w:rsidRPr="00CE297D">
              <w:rPr>
                <w:b/>
                <w:bCs/>
              </w:rPr>
              <w:t>€76.000</w:t>
            </w:r>
          </w:p>
        </w:tc>
      </w:tr>
      <w:tr w:rsidR="00CE297D" w:rsidRPr="00CE297D" w14:paraId="28167070" w14:textId="77777777">
        <w:trPr>
          <w:tblCellSpacing w:w="15" w:type="dxa"/>
        </w:trPr>
        <w:tc>
          <w:tcPr>
            <w:tcW w:w="0" w:type="auto"/>
            <w:vAlign w:val="center"/>
            <w:hideMark/>
          </w:tcPr>
          <w:p w14:paraId="5C7984CE" w14:textId="77777777" w:rsidR="00CE297D" w:rsidRPr="00CE297D" w:rsidRDefault="00CE297D" w:rsidP="00CE297D">
            <w:r w:rsidRPr="00CE297D">
              <w:t>Jaar 3</w:t>
            </w:r>
          </w:p>
        </w:tc>
        <w:tc>
          <w:tcPr>
            <w:tcW w:w="0" w:type="auto"/>
            <w:vAlign w:val="center"/>
            <w:hideMark/>
          </w:tcPr>
          <w:p w14:paraId="3CE8C94C" w14:textId="77777777" w:rsidR="00CE297D" w:rsidRPr="00CE297D" w:rsidRDefault="00CE297D" w:rsidP="00CE297D">
            <w:r w:rsidRPr="00CE297D">
              <w:t>€433.500</w:t>
            </w:r>
          </w:p>
        </w:tc>
        <w:tc>
          <w:tcPr>
            <w:tcW w:w="0" w:type="auto"/>
            <w:vAlign w:val="center"/>
            <w:hideMark/>
          </w:tcPr>
          <w:p w14:paraId="497F491E" w14:textId="77777777" w:rsidR="00CE297D" w:rsidRPr="00CE297D" w:rsidRDefault="00CE297D" w:rsidP="00CE297D">
            <w:r w:rsidRPr="00CE297D">
              <w:t>€243.500</w:t>
            </w:r>
          </w:p>
        </w:tc>
        <w:tc>
          <w:tcPr>
            <w:tcW w:w="0" w:type="auto"/>
            <w:vAlign w:val="center"/>
            <w:hideMark/>
          </w:tcPr>
          <w:p w14:paraId="3324DBF1" w14:textId="77777777" w:rsidR="00CE297D" w:rsidRPr="00CE297D" w:rsidRDefault="00CE297D" w:rsidP="00CE297D">
            <w:r w:rsidRPr="00CE297D">
              <w:rPr>
                <w:b/>
                <w:bCs/>
              </w:rPr>
              <w:t>€190.000</w:t>
            </w:r>
          </w:p>
        </w:tc>
      </w:tr>
    </w:tbl>
    <w:p w14:paraId="7FE441E4" w14:textId="77777777" w:rsidR="00CE297D" w:rsidRPr="00CE297D" w:rsidRDefault="00CE297D" w:rsidP="00CE297D">
      <w:r w:rsidRPr="00CE297D">
        <w:t>Het kantoor is in alle jaren winstgevend en toont een sterke groei.</w:t>
      </w:r>
    </w:p>
    <w:p w14:paraId="72C0B36C" w14:textId="582675BD" w:rsidR="00CE297D" w:rsidRDefault="00CE297D" w:rsidP="00CE297D"/>
    <w:p w14:paraId="484A8660" w14:textId="77777777" w:rsidR="007A12E8" w:rsidRDefault="007A12E8" w:rsidP="00CE297D"/>
    <w:p w14:paraId="4004848D" w14:textId="77777777" w:rsidR="007A12E8" w:rsidRDefault="007A12E8" w:rsidP="00CE297D"/>
    <w:p w14:paraId="14982249" w14:textId="77777777" w:rsidR="007A12E8" w:rsidRDefault="007A12E8" w:rsidP="00CE297D"/>
    <w:p w14:paraId="4E1DC19A" w14:textId="77777777" w:rsidR="007A12E8" w:rsidRDefault="007A12E8" w:rsidP="00CE297D"/>
    <w:p w14:paraId="1B41F009" w14:textId="77777777" w:rsidR="007A12E8" w:rsidRDefault="007A12E8" w:rsidP="00CE297D"/>
    <w:p w14:paraId="2B266FDE" w14:textId="77777777" w:rsidR="007A12E8" w:rsidRPr="00CE297D" w:rsidRDefault="007A12E8" w:rsidP="00CE297D"/>
    <w:p w14:paraId="65B03024" w14:textId="77777777" w:rsidR="00CE297D" w:rsidRPr="00CE297D" w:rsidRDefault="00CE297D" w:rsidP="007717CD">
      <w:pPr>
        <w:pStyle w:val="Kop2"/>
      </w:pPr>
      <w:r w:rsidRPr="00CE297D">
        <w:lastRenderedPageBreak/>
        <w:t>8. Investerings- en financieringsbegroting</w:t>
      </w:r>
    </w:p>
    <w:p w14:paraId="3333C34C" w14:textId="77777777" w:rsidR="00CE297D" w:rsidRPr="00CE297D" w:rsidRDefault="00CE297D" w:rsidP="00CE297D">
      <w:pPr>
        <w:rPr>
          <w:b/>
          <w:bCs/>
        </w:rPr>
      </w:pPr>
      <w:r w:rsidRPr="00CE297D">
        <w:rPr>
          <w:b/>
          <w:bCs/>
        </w:rPr>
        <w:t>Startinvesteringen</w:t>
      </w:r>
    </w:p>
    <w:p w14:paraId="63D81BDD" w14:textId="77777777" w:rsidR="00CE297D" w:rsidRPr="00CE297D" w:rsidRDefault="00CE297D" w:rsidP="00CE297D">
      <w:pPr>
        <w:numPr>
          <w:ilvl w:val="0"/>
          <w:numId w:val="8"/>
        </w:numPr>
      </w:pPr>
      <w:r w:rsidRPr="00CE297D">
        <w:t>Inrichting kantoor: €10.000</w:t>
      </w:r>
    </w:p>
    <w:p w14:paraId="74B1E4A5" w14:textId="77777777" w:rsidR="00CE297D" w:rsidRPr="00CE297D" w:rsidRDefault="00CE297D" w:rsidP="00CE297D">
      <w:pPr>
        <w:numPr>
          <w:ilvl w:val="0"/>
          <w:numId w:val="8"/>
        </w:numPr>
      </w:pPr>
      <w:r w:rsidRPr="00CE297D">
        <w:t>Hardware: €6.000</w:t>
      </w:r>
    </w:p>
    <w:p w14:paraId="679D7557" w14:textId="77777777" w:rsidR="00CE297D" w:rsidRPr="00CE297D" w:rsidRDefault="00CE297D" w:rsidP="00CE297D">
      <w:pPr>
        <w:numPr>
          <w:ilvl w:val="0"/>
          <w:numId w:val="8"/>
        </w:numPr>
      </w:pPr>
      <w:r w:rsidRPr="00CE297D">
        <w:t>Website &amp; branding: €3.500</w:t>
      </w:r>
    </w:p>
    <w:p w14:paraId="1EAB7DEC" w14:textId="77777777" w:rsidR="00CE297D" w:rsidRPr="00CE297D" w:rsidRDefault="00CE297D" w:rsidP="00CE297D">
      <w:pPr>
        <w:numPr>
          <w:ilvl w:val="0"/>
          <w:numId w:val="8"/>
        </w:numPr>
      </w:pPr>
      <w:r w:rsidRPr="00CE297D">
        <w:t>Software eerste 3 maanden: €1.500</w:t>
      </w:r>
    </w:p>
    <w:p w14:paraId="340A8F1E" w14:textId="77777777" w:rsidR="00CE297D" w:rsidRPr="00CE297D" w:rsidRDefault="00CE297D" w:rsidP="00CE297D">
      <w:r w:rsidRPr="00CE297D">
        <w:rPr>
          <w:b/>
          <w:bCs/>
        </w:rPr>
        <w:t>Totale investering: €21.000</w:t>
      </w:r>
    </w:p>
    <w:p w14:paraId="14213736" w14:textId="77777777" w:rsidR="00CE297D" w:rsidRPr="00CE297D" w:rsidRDefault="00CE297D" w:rsidP="00CE297D">
      <w:pPr>
        <w:rPr>
          <w:b/>
          <w:bCs/>
        </w:rPr>
      </w:pPr>
      <w:r w:rsidRPr="00CE297D">
        <w:rPr>
          <w:b/>
          <w:bCs/>
        </w:rPr>
        <w:t>Financiering</w:t>
      </w:r>
    </w:p>
    <w:p w14:paraId="594FC6C4" w14:textId="77777777" w:rsidR="00CE297D" w:rsidRPr="00CE297D" w:rsidRDefault="00CE297D" w:rsidP="00CE297D">
      <w:pPr>
        <w:numPr>
          <w:ilvl w:val="0"/>
          <w:numId w:val="9"/>
        </w:numPr>
      </w:pPr>
      <w:r w:rsidRPr="00CE297D">
        <w:t xml:space="preserve">Eigen vermogen: 5 × €5.000 = </w:t>
      </w:r>
      <w:r w:rsidRPr="00CE297D">
        <w:rPr>
          <w:b/>
          <w:bCs/>
        </w:rPr>
        <w:t>€25.000</w:t>
      </w:r>
    </w:p>
    <w:p w14:paraId="6489373A" w14:textId="77777777" w:rsidR="00CE297D" w:rsidRPr="00CE297D" w:rsidRDefault="00CE297D" w:rsidP="00CE297D">
      <w:pPr>
        <w:rPr>
          <w:b/>
          <w:bCs/>
        </w:rPr>
      </w:pPr>
      <w:r w:rsidRPr="00CE297D">
        <w:rPr>
          <w:b/>
          <w:bCs/>
        </w:rPr>
        <w:t>Beginbalans</w:t>
      </w:r>
    </w:p>
    <w:p w14:paraId="65A29803" w14:textId="0B3AD281" w:rsidR="007A12E8" w:rsidRPr="00CE297D" w:rsidRDefault="00CE297D" w:rsidP="00CE297D">
      <w:r w:rsidRPr="00CE297D">
        <w:rPr>
          <w:b/>
          <w:bCs/>
        </w:rPr>
        <w:t>Activa</w:t>
      </w:r>
      <w:r w:rsidRPr="00CE297D">
        <w:br/>
        <w:t>Inventaris: €10.000</w:t>
      </w:r>
      <w:r w:rsidRPr="00CE297D">
        <w:br/>
        <w:t>Hardware: €6.000</w:t>
      </w:r>
      <w:r w:rsidRPr="00CE297D">
        <w:br/>
        <w:t>Liquide middelen: €5.000</w:t>
      </w:r>
      <w:r w:rsidR="007A12E8" w:rsidRPr="007A12E8">
        <w:t xml:space="preserve"> </w:t>
      </w:r>
      <w:r w:rsidR="007A12E8" w:rsidRPr="00CE297D">
        <w:br/>
      </w:r>
      <w:r w:rsidR="00551E1B">
        <w:t xml:space="preserve">Overige </w:t>
      </w:r>
      <w:r w:rsidR="007A12E8" w:rsidRPr="00CE297D">
        <w:t>Liquide middelen: €</w:t>
      </w:r>
      <w:r w:rsidR="00551E1B">
        <w:t>4</w:t>
      </w:r>
      <w:r w:rsidR="007A12E8" w:rsidRPr="00CE297D">
        <w:t>.000</w:t>
      </w:r>
    </w:p>
    <w:p w14:paraId="6AF5ABE4" w14:textId="77777777" w:rsidR="00CE297D" w:rsidRPr="00CE297D" w:rsidRDefault="00CE297D" w:rsidP="00CE297D">
      <w:r w:rsidRPr="00CE297D">
        <w:rPr>
          <w:b/>
          <w:bCs/>
        </w:rPr>
        <w:t>Passiva</w:t>
      </w:r>
      <w:r w:rsidRPr="00CE297D">
        <w:br/>
        <w:t>Eigen vermogen: €25.000</w:t>
      </w:r>
    </w:p>
    <w:p w14:paraId="6DD042AF" w14:textId="7673EBB5" w:rsidR="00CE297D" w:rsidRPr="00CE297D" w:rsidRDefault="00CE297D" w:rsidP="00CE297D"/>
    <w:p w14:paraId="699B3353" w14:textId="77777777" w:rsidR="00CE297D" w:rsidRPr="00CE297D" w:rsidRDefault="00CE297D" w:rsidP="007717CD">
      <w:pPr>
        <w:pStyle w:val="Kop2"/>
      </w:pPr>
      <w:r w:rsidRPr="00CE297D">
        <w:t>9. Risicoanalyse</w:t>
      </w:r>
    </w:p>
    <w:p w14:paraId="020CEBD2" w14:textId="77777777" w:rsidR="00CE297D" w:rsidRPr="00CE297D" w:rsidRDefault="00CE297D" w:rsidP="00CE297D">
      <w:pPr>
        <w:rPr>
          <w:b/>
          <w:bCs/>
        </w:rPr>
      </w:pPr>
      <w:r w:rsidRPr="00CE297D">
        <w:rPr>
          <w:b/>
          <w:bCs/>
        </w:rPr>
        <w:t>Belangrijkste risico’s</w:t>
      </w:r>
    </w:p>
    <w:p w14:paraId="44BF83A6" w14:textId="77777777" w:rsidR="00CE297D" w:rsidRPr="00CE297D" w:rsidRDefault="00CE297D" w:rsidP="00CE297D">
      <w:pPr>
        <w:numPr>
          <w:ilvl w:val="0"/>
          <w:numId w:val="10"/>
        </w:numPr>
      </w:pPr>
      <w:r w:rsidRPr="00CE297D">
        <w:t>Te weinig nieuwe klanten</w:t>
      </w:r>
    </w:p>
    <w:p w14:paraId="022A3F2B" w14:textId="77777777" w:rsidR="00CE297D" w:rsidRPr="00CE297D" w:rsidRDefault="00CE297D" w:rsidP="00CE297D">
      <w:pPr>
        <w:numPr>
          <w:ilvl w:val="0"/>
          <w:numId w:val="10"/>
        </w:numPr>
      </w:pPr>
      <w:r w:rsidRPr="00CE297D">
        <w:t>Concurrentie in Den Haag</w:t>
      </w:r>
    </w:p>
    <w:p w14:paraId="29C60028" w14:textId="77777777" w:rsidR="00CE297D" w:rsidRPr="00CE297D" w:rsidRDefault="00CE297D" w:rsidP="00CE297D">
      <w:pPr>
        <w:numPr>
          <w:ilvl w:val="0"/>
          <w:numId w:val="10"/>
        </w:numPr>
      </w:pPr>
      <w:r w:rsidRPr="00CE297D">
        <w:t>Schommeling in de woningmarkt</w:t>
      </w:r>
    </w:p>
    <w:p w14:paraId="2C00C677" w14:textId="77777777" w:rsidR="00CE297D" w:rsidRPr="00CE297D" w:rsidRDefault="00CE297D" w:rsidP="00CE297D">
      <w:pPr>
        <w:numPr>
          <w:ilvl w:val="0"/>
          <w:numId w:val="10"/>
        </w:numPr>
      </w:pPr>
      <w:r w:rsidRPr="00CE297D">
        <w:t>Dalende beleggersmarkt</w:t>
      </w:r>
    </w:p>
    <w:p w14:paraId="34CA9C19" w14:textId="77777777" w:rsidR="00CE297D" w:rsidRPr="00CE297D" w:rsidRDefault="00CE297D" w:rsidP="00CE297D">
      <w:pPr>
        <w:numPr>
          <w:ilvl w:val="0"/>
          <w:numId w:val="10"/>
        </w:numPr>
      </w:pPr>
      <w:r w:rsidRPr="00CE297D">
        <w:t>Strengere AFM-regelgeving</w:t>
      </w:r>
    </w:p>
    <w:p w14:paraId="5BD32EE4" w14:textId="77777777" w:rsidR="00CE297D" w:rsidRPr="00CE297D" w:rsidRDefault="00CE297D" w:rsidP="00CE297D">
      <w:pPr>
        <w:rPr>
          <w:b/>
          <w:bCs/>
        </w:rPr>
      </w:pPr>
      <w:r w:rsidRPr="00CE297D">
        <w:rPr>
          <w:b/>
          <w:bCs/>
        </w:rPr>
        <w:t>Risicobeheersing</w:t>
      </w:r>
    </w:p>
    <w:p w14:paraId="4FBAC96D" w14:textId="77777777" w:rsidR="00CE297D" w:rsidRPr="00CE297D" w:rsidRDefault="00CE297D" w:rsidP="00CE297D">
      <w:pPr>
        <w:numPr>
          <w:ilvl w:val="0"/>
          <w:numId w:val="11"/>
        </w:numPr>
      </w:pPr>
      <w:r w:rsidRPr="00CE297D">
        <w:t>Gericht adverteren op starters</w:t>
      </w:r>
    </w:p>
    <w:p w14:paraId="4BCE4A51" w14:textId="77777777" w:rsidR="00CE297D" w:rsidRPr="00CE297D" w:rsidRDefault="00CE297D" w:rsidP="00CE297D">
      <w:pPr>
        <w:numPr>
          <w:ilvl w:val="0"/>
          <w:numId w:val="11"/>
        </w:numPr>
      </w:pPr>
      <w:r w:rsidRPr="00CE297D">
        <w:t>Partnerschappen met duurzame makelaars</w:t>
      </w:r>
    </w:p>
    <w:p w14:paraId="4405D899" w14:textId="77777777" w:rsidR="00CE297D" w:rsidRPr="00CE297D" w:rsidRDefault="00CE297D" w:rsidP="00CE297D">
      <w:pPr>
        <w:numPr>
          <w:ilvl w:val="0"/>
          <w:numId w:val="11"/>
        </w:numPr>
      </w:pPr>
      <w:r w:rsidRPr="00CE297D">
        <w:t xml:space="preserve">Actieve zichtbaarheid in </w:t>
      </w:r>
      <w:proofErr w:type="spellStart"/>
      <w:r w:rsidRPr="00CE297D">
        <w:t>Bezuidenhout</w:t>
      </w:r>
      <w:proofErr w:type="spellEnd"/>
    </w:p>
    <w:p w14:paraId="2F5330E3" w14:textId="77777777" w:rsidR="00CE297D" w:rsidRPr="00CE297D" w:rsidRDefault="00CE297D" w:rsidP="00CE297D">
      <w:pPr>
        <w:numPr>
          <w:ilvl w:val="0"/>
          <w:numId w:val="11"/>
        </w:numPr>
      </w:pPr>
      <w:r w:rsidRPr="00CE297D">
        <w:lastRenderedPageBreak/>
        <w:t>Financiële buffer opbouwen</w:t>
      </w:r>
    </w:p>
    <w:p w14:paraId="25873CFF" w14:textId="77777777" w:rsidR="00CE297D" w:rsidRPr="00CE297D" w:rsidRDefault="00CE297D" w:rsidP="00CE297D">
      <w:pPr>
        <w:numPr>
          <w:ilvl w:val="0"/>
          <w:numId w:val="11"/>
        </w:numPr>
      </w:pPr>
      <w:r w:rsidRPr="00CE297D">
        <w:t>Permanente scholing en naleving AFM-eisen</w:t>
      </w:r>
    </w:p>
    <w:p w14:paraId="503BD5E2" w14:textId="09C5705A" w:rsidR="00CE297D" w:rsidRPr="00CE297D" w:rsidRDefault="00CE297D" w:rsidP="00CE297D"/>
    <w:p w14:paraId="22891160" w14:textId="77777777" w:rsidR="00CE297D" w:rsidRPr="00CE297D" w:rsidRDefault="00CE297D" w:rsidP="007717CD">
      <w:pPr>
        <w:pStyle w:val="Kop2"/>
      </w:pPr>
      <w:r w:rsidRPr="00CE297D">
        <w:t>10. Winstverdeling</w:t>
      </w:r>
    </w:p>
    <w:p w14:paraId="7F6C5448" w14:textId="77777777" w:rsidR="00CE297D" w:rsidRPr="007717CD" w:rsidRDefault="00CE297D" w:rsidP="00CE297D">
      <w:r w:rsidRPr="007717CD">
        <w:t>De winst wordt gelijk verdeeld onder de vijf eigenaren:</w:t>
      </w:r>
      <w:r w:rsidRPr="007717CD">
        <w:br/>
        <w:t>Iedere eigenaar ontvangt 20% van de winst.</w:t>
      </w:r>
    </w:p>
    <w:p w14:paraId="79EA4823" w14:textId="77777777" w:rsidR="00CE297D" w:rsidRPr="007717CD" w:rsidRDefault="00CE297D" w:rsidP="00CE297D">
      <w:r w:rsidRPr="007717CD">
        <w:t>Daarnaast wordt jaarlijks gezamenlijk besloten welk percentage van de winst in het bedrijf blijft ter ondersteuning van groei, innovatie en financiële stabiliteit. Hiermee creëren we ruimte voor toekomstige investeringen.</w:t>
      </w:r>
    </w:p>
    <w:p w14:paraId="2BDE5BD4" w14:textId="5EEEC9ED" w:rsidR="00CE297D" w:rsidRPr="00CE297D" w:rsidRDefault="00CE297D" w:rsidP="00CE297D"/>
    <w:p w14:paraId="0C75AA43" w14:textId="77777777" w:rsidR="00CE297D" w:rsidRPr="00CE297D" w:rsidRDefault="00CE297D" w:rsidP="007717CD">
      <w:pPr>
        <w:pStyle w:val="Kop2"/>
      </w:pPr>
      <w:r w:rsidRPr="00CE297D">
        <w:t xml:space="preserve">11. Plaatsing tarieven in de customer </w:t>
      </w:r>
      <w:proofErr w:type="spellStart"/>
      <w:r w:rsidRPr="00CE297D">
        <w:t>journey</w:t>
      </w:r>
      <w:proofErr w:type="spellEnd"/>
    </w:p>
    <w:p w14:paraId="19118271" w14:textId="77777777" w:rsidR="00CE297D" w:rsidRPr="00CE297D" w:rsidRDefault="00CE297D" w:rsidP="00CE297D">
      <w:r w:rsidRPr="00CE297D">
        <w:t>De tarieven worden op meerdere logische plaatsen op de website weergegeven:</w:t>
      </w:r>
    </w:p>
    <w:p w14:paraId="4FC5E212" w14:textId="77777777" w:rsidR="00CE297D" w:rsidRPr="00CE297D" w:rsidRDefault="00CE297D" w:rsidP="00CE297D">
      <w:pPr>
        <w:numPr>
          <w:ilvl w:val="0"/>
          <w:numId w:val="12"/>
        </w:numPr>
      </w:pPr>
      <w:proofErr w:type="spellStart"/>
      <w:r w:rsidRPr="00CE297D">
        <w:rPr>
          <w:b/>
          <w:bCs/>
        </w:rPr>
        <w:t>Hypotheekadviespagina</w:t>
      </w:r>
      <w:proofErr w:type="spellEnd"/>
      <w:r w:rsidRPr="00CE297D">
        <w:br/>
        <w:t>Tarief van €2.750 plus aanvullende dienstprijzen.</w:t>
      </w:r>
    </w:p>
    <w:p w14:paraId="757EAF24" w14:textId="77777777" w:rsidR="00CE297D" w:rsidRPr="00CE297D" w:rsidRDefault="00CE297D" w:rsidP="00CE297D">
      <w:pPr>
        <w:numPr>
          <w:ilvl w:val="0"/>
          <w:numId w:val="12"/>
        </w:numPr>
      </w:pPr>
      <w:r w:rsidRPr="00CE297D">
        <w:rPr>
          <w:b/>
          <w:bCs/>
        </w:rPr>
        <w:t>Beleggingsadviespagina</w:t>
      </w:r>
      <w:r w:rsidRPr="00CE297D">
        <w:br/>
        <w:t xml:space="preserve">Eenmalige fee van €400 en duidelijke uitleg over de 0,6% </w:t>
      </w:r>
      <w:proofErr w:type="spellStart"/>
      <w:r w:rsidRPr="00CE297D">
        <w:t>servicefee</w:t>
      </w:r>
      <w:proofErr w:type="spellEnd"/>
      <w:r w:rsidRPr="00CE297D">
        <w:t>.</w:t>
      </w:r>
    </w:p>
    <w:p w14:paraId="1811F9C8" w14:textId="77777777" w:rsidR="00CE297D" w:rsidRPr="00CE297D" w:rsidRDefault="00CE297D" w:rsidP="00CE297D">
      <w:pPr>
        <w:numPr>
          <w:ilvl w:val="0"/>
          <w:numId w:val="12"/>
        </w:numPr>
      </w:pPr>
      <w:proofErr w:type="spellStart"/>
      <w:r w:rsidRPr="00CE297D">
        <w:rPr>
          <w:b/>
          <w:bCs/>
        </w:rPr>
        <w:t>Veelgestelde</w:t>
      </w:r>
      <w:proofErr w:type="spellEnd"/>
      <w:r w:rsidRPr="00CE297D">
        <w:rPr>
          <w:b/>
          <w:bCs/>
        </w:rPr>
        <w:t xml:space="preserve"> vragen (FAQ)</w:t>
      </w:r>
      <w:r w:rsidRPr="00CE297D">
        <w:br/>
        <w:t>Transparante uitleg over kosten en werkwijze.</w:t>
      </w:r>
    </w:p>
    <w:p w14:paraId="04A83152" w14:textId="77777777" w:rsidR="00CE297D" w:rsidRPr="00CE297D" w:rsidRDefault="00CE297D" w:rsidP="00CE297D">
      <w:r w:rsidRPr="00CE297D">
        <w:t>Dit zorgt voor vertrouwen, duidelijkheid en een consistente klantbeleving.</w:t>
      </w:r>
    </w:p>
    <w:p w14:paraId="4378CB17" w14:textId="3802CFE8" w:rsidR="00CE297D" w:rsidRPr="00CE297D" w:rsidRDefault="00CE297D" w:rsidP="00CE297D"/>
    <w:p w14:paraId="0C1402F5" w14:textId="77777777" w:rsidR="00CE297D" w:rsidRPr="00CE297D" w:rsidRDefault="00CE297D" w:rsidP="007A12E8">
      <w:pPr>
        <w:pStyle w:val="Kop2"/>
      </w:pPr>
      <w:r w:rsidRPr="00CE297D">
        <w:t>12. Conclusie</w:t>
      </w:r>
    </w:p>
    <w:p w14:paraId="76C21D0F" w14:textId="77777777" w:rsidR="00CE297D" w:rsidRPr="007A12E8" w:rsidRDefault="00CE297D" w:rsidP="00CE297D">
      <w:r w:rsidRPr="007A12E8">
        <w:t>Dit verdienmodel toont aan dat ons duurzame financieel advieskantoor financieel gezond, toekomstbestendig en realistisch is. Door duidelijke tarieven, focus op starters, scherpe kostenstructuur en duurzame positionering kan het kantoor groeien van €23.050 winst in jaar 1 naar €190.000 winst in jaar 3.</w:t>
      </w:r>
    </w:p>
    <w:p w14:paraId="0FE1C129" w14:textId="77777777" w:rsidR="00CE297D" w:rsidRPr="007A12E8" w:rsidRDefault="00CE297D" w:rsidP="00CE297D">
      <w:r w:rsidRPr="007A12E8">
        <w:t>Het kantoor voldoet hiermee aan alle eisen van duurzaamheid, transparantie, financiële haalbaarheid en marktconformiteit.</w:t>
      </w:r>
    </w:p>
    <w:p w14:paraId="6B31862C" w14:textId="77777777" w:rsidR="00CE297D" w:rsidRDefault="00CE297D"/>
    <w:sectPr w:rsidR="00CE29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666DF"/>
    <w:multiLevelType w:val="multilevel"/>
    <w:tmpl w:val="A7AE6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987C8A"/>
    <w:multiLevelType w:val="multilevel"/>
    <w:tmpl w:val="2B94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FE6A10"/>
    <w:multiLevelType w:val="multilevel"/>
    <w:tmpl w:val="65C24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807F96"/>
    <w:multiLevelType w:val="multilevel"/>
    <w:tmpl w:val="F9A8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074BB4"/>
    <w:multiLevelType w:val="multilevel"/>
    <w:tmpl w:val="F5A4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DE6FCF"/>
    <w:multiLevelType w:val="multilevel"/>
    <w:tmpl w:val="6032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B516ED"/>
    <w:multiLevelType w:val="multilevel"/>
    <w:tmpl w:val="70B4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5C4992"/>
    <w:multiLevelType w:val="multilevel"/>
    <w:tmpl w:val="479A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D63366"/>
    <w:multiLevelType w:val="multilevel"/>
    <w:tmpl w:val="40F2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BB5768"/>
    <w:multiLevelType w:val="multilevel"/>
    <w:tmpl w:val="03E6E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FD22EB"/>
    <w:multiLevelType w:val="multilevel"/>
    <w:tmpl w:val="BA68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D20288"/>
    <w:multiLevelType w:val="multilevel"/>
    <w:tmpl w:val="B770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0944041">
    <w:abstractNumId w:val="11"/>
  </w:num>
  <w:num w:numId="2" w16cid:durableId="1896768882">
    <w:abstractNumId w:val="6"/>
  </w:num>
  <w:num w:numId="3" w16cid:durableId="49043642">
    <w:abstractNumId w:val="8"/>
  </w:num>
  <w:num w:numId="4" w16cid:durableId="259796701">
    <w:abstractNumId w:val="3"/>
  </w:num>
  <w:num w:numId="5" w16cid:durableId="706418917">
    <w:abstractNumId w:val="10"/>
  </w:num>
  <w:num w:numId="6" w16cid:durableId="1338116748">
    <w:abstractNumId w:val="1"/>
  </w:num>
  <w:num w:numId="7" w16cid:durableId="153303565">
    <w:abstractNumId w:val="4"/>
  </w:num>
  <w:num w:numId="8" w16cid:durableId="1763598693">
    <w:abstractNumId w:val="5"/>
  </w:num>
  <w:num w:numId="9" w16cid:durableId="21637041">
    <w:abstractNumId w:val="2"/>
  </w:num>
  <w:num w:numId="10" w16cid:durableId="1617330170">
    <w:abstractNumId w:val="9"/>
  </w:num>
  <w:num w:numId="11" w16cid:durableId="616641149">
    <w:abstractNumId w:val="7"/>
  </w:num>
  <w:num w:numId="12" w16cid:durableId="1059936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97D"/>
    <w:rsid w:val="00551E1B"/>
    <w:rsid w:val="006542E8"/>
    <w:rsid w:val="007717CD"/>
    <w:rsid w:val="007A12E8"/>
    <w:rsid w:val="00A82A24"/>
    <w:rsid w:val="00CE297D"/>
    <w:rsid w:val="00D8133D"/>
    <w:rsid w:val="00DE40EA"/>
    <w:rsid w:val="00EF16DF"/>
    <w:rsid w:val="00F278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985F0"/>
  <w15:chartTrackingRefBased/>
  <w15:docId w15:val="{D645B1CD-BB16-44CE-AC29-92E4C90F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29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E29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E29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29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29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29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29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29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29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29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E29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E29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29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29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29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29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29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297D"/>
    <w:rPr>
      <w:rFonts w:eastAsiaTheme="majorEastAsia" w:cstheme="majorBidi"/>
      <w:color w:val="272727" w:themeColor="text1" w:themeTint="D8"/>
    </w:rPr>
  </w:style>
  <w:style w:type="paragraph" w:styleId="Titel">
    <w:name w:val="Title"/>
    <w:basedOn w:val="Standaard"/>
    <w:next w:val="Standaard"/>
    <w:link w:val="TitelChar"/>
    <w:uiPriority w:val="10"/>
    <w:qFormat/>
    <w:rsid w:val="00CE2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29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29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29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29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297D"/>
    <w:rPr>
      <w:i/>
      <w:iCs/>
      <w:color w:val="404040" w:themeColor="text1" w:themeTint="BF"/>
    </w:rPr>
  </w:style>
  <w:style w:type="paragraph" w:styleId="Lijstalinea">
    <w:name w:val="List Paragraph"/>
    <w:basedOn w:val="Standaard"/>
    <w:uiPriority w:val="34"/>
    <w:qFormat/>
    <w:rsid w:val="00CE297D"/>
    <w:pPr>
      <w:ind w:left="720"/>
      <w:contextualSpacing/>
    </w:pPr>
  </w:style>
  <w:style w:type="character" w:styleId="Intensievebenadrukking">
    <w:name w:val="Intense Emphasis"/>
    <w:basedOn w:val="Standaardalinea-lettertype"/>
    <w:uiPriority w:val="21"/>
    <w:qFormat/>
    <w:rsid w:val="00CE297D"/>
    <w:rPr>
      <w:i/>
      <w:iCs/>
      <w:color w:val="0F4761" w:themeColor="accent1" w:themeShade="BF"/>
    </w:rPr>
  </w:style>
  <w:style w:type="paragraph" w:styleId="Duidelijkcitaat">
    <w:name w:val="Intense Quote"/>
    <w:basedOn w:val="Standaard"/>
    <w:next w:val="Standaard"/>
    <w:link w:val="DuidelijkcitaatChar"/>
    <w:uiPriority w:val="30"/>
    <w:qFormat/>
    <w:rsid w:val="00CE29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297D"/>
    <w:rPr>
      <w:i/>
      <w:iCs/>
      <w:color w:val="0F4761" w:themeColor="accent1" w:themeShade="BF"/>
    </w:rPr>
  </w:style>
  <w:style w:type="character" w:styleId="Intensieveverwijzing">
    <w:name w:val="Intense Reference"/>
    <w:basedOn w:val="Standaardalinea-lettertype"/>
    <w:uiPriority w:val="32"/>
    <w:qFormat/>
    <w:rsid w:val="00CE29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1076</Words>
  <Characters>5922</Characters>
  <Application>Microsoft Office Word</Application>
  <DocSecurity>0</DocSecurity>
  <Lines>49</Lines>
  <Paragraphs>13</Paragraphs>
  <ScaleCrop>false</ScaleCrop>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Myumyun</dc:creator>
  <cp:keywords/>
  <dc:description/>
  <cp:lastModifiedBy>Erdem Myumyun</cp:lastModifiedBy>
  <cp:revision>7</cp:revision>
  <dcterms:created xsi:type="dcterms:W3CDTF">2025-12-16T22:09:00Z</dcterms:created>
  <dcterms:modified xsi:type="dcterms:W3CDTF">2025-12-17T09:24:00Z</dcterms:modified>
</cp:coreProperties>
</file>